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eorgia" w:cs="Georgia" w:eastAsia="Georgia" w:hAnsi="Georgia"/>
          <w:b/>
          <w:bCs/>
          <w:spacing w:val="30"/>
          <w:sz w:val="30"/>
          <w:szCs w:val="30"/>
        </w:rPr>
        <w:t xml:space="preserve">SMLOUVA O PŮJČCE (ZÁPŮJČCE) MEZI OSOBAMI BLÍZKÝMI</w:t>
      </w:r>
    </w:p>
    <w:p>
      <w:pPr>
        <w:spacing w:after="400"/>
        <w:jc w:val="center"/>
      </w:pPr>
      <w:r>
        <w:rPr>
          <w:rFonts w:ascii="Consolas" w:cs="Consolas" w:eastAsia="Consolas" w:hAnsi="Consolas"/>
          <w:color w:val="555555"/>
          <w:sz w:val="17"/>
          <w:szCs w:val="17"/>
        </w:rPr>
        <w:t xml:space="preserve">UZAVŘENÁ PODLE § 2390 A NÁSL. ZÁKONA Č. 89/2012 SB., OBČANSKÝ ZÁKONÍK</w:t>
      </w:r>
    </w:p>
    <w:p>
      <w:pPr>
        <w:spacing w:after="60" w:before="200"/>
      </w:pPr>
      <w:r>
        <w:rPr>
          <w:rFonts w:ascii="Georgia" w:cs="Georgia" w:eastAsia="Georgia" w:hAnsi="Georgia"/>
          <w:b/>
          <w:bCs/>
          <w:sz w:val="23"/>
          <w:szCs w:val="23"/>
        </w:rPr>
        <w:t xml:space="preserve">Věřitel (zapůjčitel):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„věřitel“)</w:t>
      </w:r>
    </w:p>
    <w:p>
      <w:pPr>
        <w:spacing w:after="60" w:before="200"/>
      </w:pPr>
      <w:r>
        <w:rPr>
          <w:rFonts w:ascii="Georgia" w:cs="Georgia" w:eastAsia="Georgia" w:hAnsi="Georgia"/>
          <w:b/>
          <w:bCs/>
          <w:sz w:val="23"/>
          <w:szCs w:val="23"/>
        </w:rPr>
        <w:t xml:space="preserve">Dlužník (vydlužitel):</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„dlužník“)</w:t>
      </w:r>
    </w:p>
    <w:p>
      <w:pPr>
        <w:spacing w:after="200"/>
      </w:pPr>
      <w:r>
        <w:rPr>
          <w:rFonts w:ascii="Georgia" w:cs="Georgia" w:eastAsia="Georgia" w:hAnsi="Georgia"/>
          <w:i/>
          <w:iCs/>
          <w:color w:val="444444"/>
          <w:sz w:val="21"/>
          <w:szCs w:val="21"/>
        </w:rPr>
        <w:t xml:space="preserve">(dále společně jen „smluvní strany“)</w:t>
      </w:r>
    </w:p>
    <w:p>
      <w:pPr>
        <w:spacing w:after="20" w:before="320"/>
        <w:jc w:val="center"/>
      </w:pPr>
      <w:r>
        <w:rPr>
          <w:rFonts w:ascii="Consolas" w:cs="Consolas" w:eastAsia="Consolas" w:hAnsi="Consolas"/>
          <w:color w:val="7A1C24"/>
          <w:spacing w:val="30"/>
          <w:sz w:val="17"/>
          <w:szCs w:val="17"/>
        </w:rPr>
        <w:t xml:space="preserve">ČL. I</w:t>
      </w:r>
    </w:p>
    <w:p>
      <w:pPr>
        <w:spacing w:after="140"/>
        <w:jc w:val="center"/>
      </w:pPr>
      <w:r>
        <w:rPr>
          <w:rFonts w:ascii="Georgia" w:cs="Georgia" w:eastAsia="Georgia" w:hAnsi="Georgia"/>
          <w:b/>
          <w:bCs/>
          <w:sz w:val="24"/>
          <w:szCs w:val="24"/>
        </w:rPr>
        <w:t xml:space="preserve">Úvodní prohlášení</w:t>
      </w:r>
    </w:p>
    <w:p>
      <w:pPr>
        <w:spacing w:after="140" w:line="300"/>
        <w:jc w:val="both"/>
      </w:pPr>
      <w:r>
        <w:rPr>
          <w:rFonts w:ascii="Georgia" w:cs="Georgia" w:eastAsia="Georgia" w:hAnsi="Georgia"/>
          <w:b/>
          <w:bCs/>
          <w:sz w:val="23"/>
          <w:szCs w:val="23"/>
        </w:rPr>
        <w:t xml:space="preserve">I.1  </w:t>
      </w:r>
      <w:r>
        <w:rPr>
          <w:rFonts w:ascii="Georgia" w:cs="Georgia" w:eastAsia="Georgia" w:hAnsi="Georgia"/>
          <w:sz w:val="23"/>
          <w:szCs w:val="23"/>
        </w:rPr>
        <w:t xml:space="preserve">Smluvní strany prohlašují, že jsou osobami blízkými ve smyslu § 22 zákona č. 89/2012 Sb., občanský zákoník (vztah: </w:t>
      </w:r>
      <w:r>
        <w:rPr>
          <w:rFonts w:ascii="Georgia" w:cs="Georgia" w:eastAsia="Georgia" w:hAnsi="Georgia"/>
          <w:sz w:val="23"/>
          <w:szCs w:val="23"/>
          <w:shd w:fill="FFF3C4"/>
        </w:rPr>
        <w:t xml:space="preserve">[např. rodič – dítě / sourozenci / přátelé]</w:t>
      </w:r>
      <w:r>
        <w:rPr>
          <w:rFonts w:ascii="Georgia" w:cs="Georgia" w:eastAsia="Georgia" w:hAnsi="Georgia"/>
          <w:sz w:val="23"/>
          <w:szCs w:val="23"/>
        </w:rPr>
        <w:t xml:space="preserve">).</w:t>
      </w:r>
    </w:p>
    <w:p>
      <w:pPr>
        <w:spacing w:after="140" w:line="300"/>
        <w:jc w:val="both"/>
      </w:pPr>
      <w:r>
        <w:rPr>
          <w:rFonts w:ascii="Georgia" w:cs="Georgia" w:eastAsia="Georgia" w:hAnsi="Georgia"/>
          <w:b/>
          <w:bCs/>
          <w:sz w:val="23"/>
          <w:szCs w:val="23"/>
        </w:rPr>
        <w:t xml:space="preserve">I.2  </w:t>
      </w:r>
      <w:r>
        <w:rPr>
          <w:rFonts w:ascii="Georgia" w:cs="Georgia" w:eastAsia="Georgia" w:hAnsi="Georgia"/>
          <w:sz w:val="23"/>
          <w:szCs w:val="23"/>
        </w:rPr>
        <w:t xml:space="preserve">Smluvní strany výslovně prohlašují, že peněžní prostředky podle čl. II této smlouvy jsou poskytovány jako půjčka (zápůjčka), nikoli jako dar, a že dlužník je povinen je věřiteli vrátit za podmínek této smlouvy.</w:t>
      </w:r>
    </w:p>
    <w:p>
      <w:pPr>
        <w:spacing w:after="20" w:before="320"/>
        <w:jc w:val="center"/>
      </w:pPr>
      <w:r>
        <w:rPr>
          <w:rFonts w:ascii="Consolas" w:cs="Consolas" w:eastAsia="Consolas" w:hAnsi="Consolas"/>
          <w:color w:val="7A1C24"/>
          <w:spacing w:val="30"/>
          <w:sz w:val="17"/>
          <w:szCs w:val="17"/>
        </w:rPr>
        <w:t xml:space="preserve">ČL. II</w:t>
      </w:r>
    </w:p>
    <w:p>
      <w:pPr>
        <w:spacing w:after="140"/>
        <w:jc w:val="center"/>
      </w:pPr>
      <w:r>
        <w:rPr>
          <w:rFonts w:ascii="Georgia" w:cs="Georgia" w:eastAsia="Georgia" w:hAnsi="Georgia"/>
          <w:b/>
          <w:bCs/>
          <w:sz w:val="24"/>
          <w:szCs w:val="24"/>
        </w:rPr>
        <w:t xml:space="preserve">Předmět smlouvy</w:t>
      </w:r>
    </w:p>
    <w:p>
      <w:pPr>
        <w:spacing w:after="140" w:line="300"/>
        <w:jc w:val="both"/>
      </w:pPr>
      <w:r>
        <w:rPr>
          <w:rFonts w:ascii="Georgia" w:cs="Georgia" w:eastAsia="Georgia" w:hAnsi="Georgia"/>
          <w:b/>
          <w:bCs/>
          <w:sz w:val="23"/>
          <w:szCs w:val="23"/>
        </w:rPr>
        <w:t xml:space="preserve">II.1  </w:t>
      </w:r>
      <w:r>
        <w:rPr>
          <w:rFonts w:ascii="Georgia" w:cs="Georgia" w:eastAsia="Georgia" w:hAnsi="Georgia"/>
          <w:sz w:val="23"/>
          <w:szCs w:val="23"/>
        </w:rPr>
        <w:t xml:space="preserve">Věřitel přenechává dlužníkovi peněžní prostředky ve výši </w:t>
      </w:r>
      <w:r>
        <w:rPr>
          <w:rFonts w:ascii="Georgia" w:cs="Georgia" w:eastAsia="Georgia" w:hAnsi="Georgia"/>
          <w:sz w:val="23"/>
          <w:szCs w:val="23"/>
          <w:shd w:fill="FFF3C4"/>
        </w:rPr>
        <w:t xml:space="preserve">[300 000]</w:t>
      </w:r>
      <w:r>
        <w:rPr>
          <w:rFonts w:ascii="Georgia" w:cs="Georgia" w:eastAsia="Georgia" w:hAnsi="Georgia"/>
          <w:sz w:val="23"/>
          <w:szCs w:val="23"/>
        </w:rPr>
        <w:t xml:space="preserve"> Kč (slovy: </w:t>
      </w:r>
      <w:r>
        <w:rPr>
          <w:rFonts w:ascii="Georgia" w:cs="Georgia" w:eastAsia="Georgia" w:hAnsi="Georgia"/>
          <w:sz w:val="23"/>
          <w:szCs w:val="23"/>
          <w:shd w:fill="FFF3C4"/>
        </w:rPr>
        <w:t xml:space="preserve">[tři sta tisíc korun českých]</w:t>
      </w:r>
      <w:r>
        <w:rPr>
          <w:rFonts w:ascii="Georgia" w:cs="Georgia" w:eastAsia="Georgia" w:hAnsi="Georgia"/>
          <w:sz w:val="23"/>
          <w:szCs w:val="23"/>
        </w:rPr>
        <w:t xml:space="preserve">) (dále jen „půjčka“) a dlužník se zavazuje půjčku věřiteli vrátit.</w:t>
      </w:r>
    </w:p>
    <w:p>
      <w:pPr>
        <w:spacing w:after="140" w:line="300"/>
        <w:jc w:val="both"/>
      </w:pPr>
      <w:r>
        <w:rPr>
          <w:rFonts w:ascii="Georgia" w:cs="Georgia" w:eastAsia="Georgia" w:hAnsi="Georgia"/>
          <w:b/>
          <w:bCs/>
          <w:sz w:val="23"/>
          <w:szCs w:val="23"/>
        </w:rPr>
        <w:t xml:space="preserve">II.2  </w:t>
      </w:r>
      <w:r>
        <w:rPr>
          <w:rFonts w:ascii="Georgia" w:cs="Georgia" w:eastAsia="Georgia" w:hAnsi="Georgia"/>
          <w:sz w:val="23"/>
          <w:szCs w:val="23"/>
        </w:rPr>
        <w:t xml:space="preserve">Účel půjčky: </w:t>
      </w:r>
      <w:r>
        <w:rPr>
          <w:rFonts w:ascii="Georgia" w:cs="Georgia" w:eastAsia="Georgia" w:hAnsi="Georgia"/>
          <w:sz w:val="23"/>
          <w:szCs w:val="23"/>
          <w:shd w:fill="FFF3C4"/>
        </w:rPr>
        <w:t xml:space="preserve">[např. pořízení bydlení / vozidla / překlenutí tíživé situace]</w:t>
      </w:r>
      <w:r>
        <w:rPr>
          <w:rFonts w:ascii="Georgia" w:cs="Georgia" w:eastAsia="Georgia" w:hAnsi="Georgia"/>
          <w:sz w:val="23"/>
          <w:szCs w:val="23"/>
        </w:rPr>
        <w:t xml:space="preserve">. Účel je uveden pouze informativně a jeho splnění není podmínkou platnosti této smlouvy.</w:t>
      </w:r>
    </w:p>
    <w:p>
      <w:pPr>
        <w:spacing w:after="20" w:before="320"/>
        <w:jc w:val="center"/>
      </w:pPr>
      <w:r>
        <w:rPr>
          <w:rFonts w:ascii="Consolas" w:cs="Consolas" w:eastAsia="Consolas" w:hAnsi="Consolas"/>
          <w:color w:val="7A1C24"/>
          <w:spacing w:val="30"/>
          <w:sz w:val="17"/>
          <w:szCs w:val="17"/>
        </w:rPr>
        <w:t xml:space="preserve">ČL. III</w:t>
      </w:r>
    </w:p>
    <w:p>
      <w:pPr>
        <w:spacing w:after="140"/>
        <w:jc w:val="center"/>
      </w:pPr>
      <w:r>
        <w:rPr>
          <w:rFonts w:ascii="Georgia" w:cs="Georgia" w:eastAsia="Georgia" w:hAnsi="Georgia"/>
          <w:b/>
          <w:bCs/>
          <w:sz w:val="24"/>
          <w:szCs w:val="24"/>
        </w:rPr>
        <w:t xml:space="preserve">Způsob poskytnutí peněz</w:t>
      </w:r>
    </w:p>
    <w:p>
      <w:pPr>
        <w:spacing w:after="140" w:line="300"/>
        <w:jc w:val="both"/>
      </w:pPr>
      <w:r>
        <w:rPr>
          <w:rFonts w:ascii="Georgia" w:cs="Georgia" w:eastAsia="Georgia" w:hAnsi="Georgia"/>
          <w:b/>
          <w:bCs/>
          <w:sz w:val="23"/>
          <w:szCs w:val="23"/>
        </w:rPr>
        <w:t xml:space="preserve">III.1  </w:t>
      </w:r>
      <w:r>
        <w:rPr>
          <w:rFonts w:ascii="Georgia" w:cs="Georgia" w:eastAsia="Georgia" w:hAnsi="Georgia"/>
          <w:sz w:val="23"/>
          <w:szCs w:val="23"/>
        </w:rPr>
        <w:t xml:space="preserve">Půjčka bude dlužníkovi poskytnuta převodem na bankovní účet dlužníka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V popisu platby věřitel uvede „půjčka podle smlouvy ze dne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w:t>
      </w:r>
    </w:p>
    <w:p>
      <w:pPr>
        <w:pBdr>
          <w:left w:val="single" w:color="BBBBBB" w:sz="6" w:space="8"/>
        </w:pBdr>
        <w:spacing w:after="140"/>
        <w:ind w:left="360"/>
      </w:pPr>
      <w:r>
        <w:rPr>
          <w:rFonts w:ascii="Georgia" w:cs="Georgia" w:eastAsia="Georgia" w:hAnsi="Georgia"/>
          <w:i/>
          <w:iCs/>
          <w:color w:val="555555"/>
          <w:sz w:val="19"/>
          <w:szCs w:val="19"/>
        </w:rPr>
        <w:t xml:space="preserve">Doporučení: i v rodině posílejte peníze převodem — výpis z účtu je nejlepší důkaz, že půjčka skutečně vznikla.</w:t>
      </w:r>
    </w:p>
    <w:p>
      <w:pPr>
        <w:spacing w:after="20" w:before="320"/>
        <w:jc w:val="center"/>
      </w:pPr>
      <w:r>
        <w:rPr>
          <w:rFonts w:ascii="Consolas" w:cs="Consolas" w:eastAsia="Consolas" w:hAnsi="Consolas"/>
          <w:color w:val="7A1C24"/>
          <w:spacing w:val="30"/>
          <w:sz w:val="17"/>
          <w:szCs w:val="17"/>
        </w:rPr>
        <w:t xml:space="preserve">ČL. IV</w:t>
      </w:r>
    </w:p>
    <w:p>
      <w:pPr>
        <w:spacing w:after="140"/>
        <w:jc w:val="center"/>
      </w:pPr>
      <w:r>
        <w:rPr>
          <w:rFonts w:ascii="Georgia" w:cs="Georgia" w:eastAsia="Georgia" w:hAnsi="Georgia"/>
          <w:b/>
          <w:bCs/>
          <w:sz w:val="24"/>
          <w:szCs w:val="24"/>
        </w:rPr>
        <w:t xml:space="preserve">Smluvní úrok</w:t>
      </w:r>
    </w:p>
    <w:p>
      <w:pPr>
        <w:spacing w:after="140" w:line="300"/>
        <w:jc w:val="both"/>
      </w:pPr>
      <w:r>
        <w:rPr>
          <w:rFonts w:ascii="Georgia" w:cs="Georgia" w:eastAsia="Georgia" w:hAnsi="Georgia"/>
          <w:b/>
          <w:bCs/>
          <w:sz w:val="23"/>
          <w:szCs w:val="23"/>
        </w:rPr>
        <w:t xml:space="preserve">IV.1  </w:t>
      </w:r>
      <w:r>
        <w:rPr>
          <w:rFonts w:ascii="Georgia" w:cs="Georgia" w:eastAsia="Georgia" w:hAnsi="Georgia"/>
          <w:sz w:val="23"/>
          <w:szCs w:val="23"/>
        </w:rPr>
        <w:t xml:space="preserve">Půjčka je bezúročná.</w:t>
      </w:r>
    </w:p>
    <w:p>
      <w:pPr>
        <w:pBdr>
          <w:left w:val="single" w:color="BBBBBB" w:sz="6" w:space="8"/>
        </w:pBdr>
        <w:spacing w:after="140"/>
        <w:ind w:left="360"/>
      </w:pPr>
      <w:r>
        <w:rPr>
          <w:rFonts w:ascii="Georgia" w:cs="Georgia" w:eastAsia="Georgia" w:hAnsi="Georgia"/>
          <w:i/>
          <w:iCs/>
          <w:color w:val="555555"/>
          <w:sz w:val="19"/>
          <w:szCs w:val="19"/>
        </w:rPr>
        <w:t xml:space="preserve">Alternativa: „Dlužník zaplatí věřiteli smluvní úrok ve výši </w:t>
      </w:r>
      <w:r>
        <w:rPr>
          <w:rFonts w:ascii="Georgia" w:cs="Georgia" w:eastAsia="Georgia" w:hAnsi="Georgia"/>
          <w:i/>
          <w:iCs/>
          <w:color w:val="555555"/>
          <w:sz w:val="19"/>
          <w:szCs w:val="19"/>
          <w:shd w:fill="FFF3C4"/>
        </w:rPr>
        <w:t xml:space="preserve">[2]</w:t>
      </w:r>
      <w:r>
        <w:rPr>
          <w:rFonts w:ascii="Georgia" w:cs="Georgia" w:eastAsia="Georgia" w:hAnsi="Georgia"/>
          <w:i/>
          <w:iCs/>
          <w:color w:val="555555"/>
          <w:sz w:val="19"/>
          <w:szCs w:val="19"/>
        </w:rPr>
        <w:t xml:space="preserve"> % p. a. z nesplacené jistiny.“ Úrok je u věřitele příjmem podle § 8 zákona č. 586/1992 Sb., o daních z příjmů.</w:t>
      </w:r>
    </w:p>
    <w:p>
      <w:pPr>
        <w:spacing w:after="20" w:before="320"/>
        <w:jc w:val="center"/>
      </w:pPr>
      <w:r>
        <w:rPr>
          <w:rFonts w:ascii="Consolas" w:cs="Consolas" w:eastAsia="Consolas" w:hAnsi="Consolas"/>
          <w:color w:val="7A1C24"/>
          <w:spacing w:val="30"/>
          <w:sz w:val="17"/>
          <w:szCs w:val="17"/>
        </w:rPr>
        <w:t xml:space="preserve">ČL. V</w:t>
      </w:r>
    </w:p>
    <w:p>
      <w:pPr>
        <w:spacing w:after="140"/>
        <w:jc w:val="center"/>
      </w:pPr>
      <w:r>
        <w:rPr>
          <w:rFonts w:ascii="Georgia" w:cs="Georgia" w:eastAsia="Georgia" w:hAnsi="Georgia"/>
          <w:b/>
          <w:bCs/>
          <w:sz w:val="24"/>
          <w:szCs w:val="24"/>
        </w:rPr>
        <w:t xml:space="preserve">Vrácení dluhu</w:t>
      </w:r>
    </w:p>
    <w:p>
      <w:pPr>
        <w:spacing w:after="140" w:line="300"/>
        <w:jc w:val="both"/>
      </w:pPr>
      <w:r>
        <w:rPr>
          <w:rFonts w:ascii="Georgia" w:cs="Georgia" w:eastAsia="Georgia" w:hAnsi="Georgia"/>
          <w:b/>
          <w:bCs/>
          <w:sz w:val="23"/>
          <w:szCs w:val="23"/>
        </w:rPr>
        <w:t xml:space="preserve">V.1  </w:t>
      </w:r>
      <w:r>
        <w:rPr>
          <w:rFonts w:ascii="Georgia" w:cs="Georgia" w:eastAsia="Georgia" w:hAnsi="Georgia"/>
          <w:sz w:val="23"/>
          <w:szCs w:val="23"/>
        </w:rPr>
        <w:t xml:space="preserve">Dlužník vrátí půjčku věřiteli v </w:t>
      </w:r>
      <w:r>
        <w:rPr>
          <w:rFonts w:ascii="Georgia" w:cs="Georgia" w:eastAsia="Georgia" w:hAnsi="Georgia"/>
          <w:sz w:val="23"/>
          <w:szCs w:val="23"/>
          <w:shd w:fill="FFF3C4"/>
        </w:rPr>
        <w:t xml:space="preserve">[36]</w:t>
      </w:r>
      <w:r>
        <w:rPr>
          <w:rFonts w:ascii="Georgia" w:cs="Georgia" w:eastAsia="Georgia" w:hAnsi="Georgia"/>
          <w:sz w:val="23"/>
          <w:szCs w:val="23"/>
        </w:rPr>
        <w:t xml:space="preserve"> měsíčních splátkách po </w:t>
      </w:r>
      <w:r>
        <w:rPr>
          <w:rFonts w:ascii="Georgia" w:cs="Georgia" w:eastAsia="Georgia" w:hAnsi="Georgia"/>
          <w:sz w:val="23"/>
          <w:szCs w:val="23"/>
          <w:shd w:fill="FFF3C4"/>
        </w:rPr>
        <w:t xml:space="preserve">[8 334]</w:t>
      </w:r>
      <w:r>
        <w:rPr>
          <w:rFonts w:ascii="Georgia" w:cs="Georgia" w:eastAsia="Georgia" w:hAnsi="Georgia"/>
          <w:sz w:val="23"/>
          <w:szCs w:val="23"/>
        </w:rPr>
        <w:t xml:space="preserve"> Kč (poslední splátka </w:t>
      </w:r>
      <w:r>
        <w:rPr>
          <w:rFonts w:ascii="Georgia" w:cs="Georgia" w:eastAsia="Georgia" w:hAnsi="Georgia"/>
          <w:sz w:val="23"/>
          <w:szCs w:val="23"/>
          <w:shd w:fill="FFF3C4"/>
        </w:rPr>
        <w:t xml:space="preserve">[8 310]</w:t>
      </w:r>
      <w:r>
        <w:rPr>
          <w:rFonts w:ascii="Georgia" w:cs="Georgia" w:eastAsia="Georgia" w:hAnsi="Georgia"/>
          <w:sz w:val="23"/>
          <w:szCs w:val="23"/>
        </w:rPr>
        <w:t xml:space="preserve"> Kč), splatných vždy do </w:t>
      </w:r>
      <w:r>
        <w:rPr>
          <w:rFonts w:ascii="Georgia" w:cs="Georgia" w:eastAsia="Georgia" w:hAnsi="Georgia"/>
          <w:sz w:val="23"/>
          <w:szCs w:val="23"/>
          <w:shd w:fill="FFF3C4"/>
        </w:rPr>
        <w:t xml:space="preserve">[20.]</w:t>
      </w:r>
      <w:r>
        <w:rPr>
          <w:rFonts w:ascii="Georgia" w:cs="Georgia" w:eastAsia="Georgia" w:hAnsi="Georgia"/>
          <w:sz w:val="23"/>
          <w:szCs w:val="23"/>
        </w:rPr>
        <w:t xml:space="preserve"> dne kalendářního měsíce, počínaje měsícem </w:t>
      </w:r>
      <w:r>
        <w:rPr>
          <w:rFonts w:ascii="Georgia" w:cs="Georgia" w:eastAsia="Georgia" w:hAnsi="Georgia"/>
          <w:sz w:val="23"/>
          <w:szCs w:val="23"/>
          <w:shd w:fill="FFF3C4"/>
        </w:rPr>
        <w:t xml:space="preserve">[MM/RRRR]</w:t>
      </w:r>
      <w:r>
        <w:rPr>
          <w:rFonts w:ascii="Georgia" w:cs="Georgia" w:eastAsia="Georgia" w:hAnsi="Georgia"/>
          <w:sz w:val="23"/>
          <w:szCs w:val="23"/>
        </w:rPr>
        <w:t xml:space="preserve">, převodem na bankovní účet věřitele č. </w:t>
      </w:r>
      <w:r>
        <w:rPr>
          <w:rFonts w:ascii="Georgia" w:cs="Georgia" w:eastAsia="Georgia" w:hAnsi="Georgia"/>
          <w:sz w:val="23"/>
          <w:szCs w:val="23"/>
          <w:shd w:fill="FFF3C4"/>
        </w:rPr>
        <w:t xml:space="preserve">[číslo účtu / IBAN]</w:t>
      </w:r>
      <w:r>
        <w:rPr>
          <w:rFonts w:ascii="Georgia" w:cs="Georgia" w:eastAsia="Georgia" w:hAnsi="Georgia"/>
          <w:sz w:val="23"/>
          <w:szCs w:val="23"/>
        </w:rPr>
        <w:t xml:space="preserve">.</w:t>
      </w:r>
    </w:p>
    <w:p>
      <w:pPr>
        <w:pBdr>
          <w:left w:val="single" w:color="BBBBBB" w:sz="6" w:space="8"/>
        </w:pBdr>
        <w:spacing w:after="140"/>
        <w:ind w:left="360"/>
      </w:pPr>
      <w:r>
        <w:rPr>
          <w:rFonts w:ascii="Georgia" w:cs="Georgia" w:eastAsia="Georgia" w:hAnsi="Georgia"/>
          <w:i/>
          <w:iCs/>
          <w:color w:val="555555"/>
          <w:sz w:val="19"/>
          <w:szCs w:val="19"/>
        </w:rPr>
        <w:t xml:space="preserve">Alternativa jednorázově: „Dlužník vrátí půjčku jednorázově nejpozději do </w:t>
      </w:r>
      <w:r>
        <w:rPr>
          <w:rFonts w:ascii="Georgia" w:cs="Georgia" w:eastAsia="Georgia" w:hAnsi="Georgia"/>
          <w:i/>
          <w:iCs/>
          <w:color w:val="555555"/>
          <w:sz w:val="19"/>
          <w:szCs w:val="19"/>
          <w:shd w:fill="FFF3C4"/>
        </w:rPr>
        <w:t xml:space="preserve">[DD. MM. RRRR]</w:t>
      </w:r>
      <w:r>
        <w:rPr>
          <w:rFonts w:ascii="Georgia" w:cs="Georgia" w:eastAsia="Georgia" w:hAnsi="Georgia"/>
          <w:i/>
          <w:iCs/>
          <w:color w:val="555555"/>
          <w:sz w:val="19"/>
          <w:szCs w:val="19"/>
        </w:rPr>
        <w:t xml:space="preserve">.“</w:t>
      </w:r>
    </w:p>
    <w:p>
      <w:pPr>
        <w:spacing w:after="140" w:line="300"/>
        <w:jc w:val="both"/>
      </w:pPr>
      <w:r>
        <w:rPr>
          <w:rFonts w:ascii="Georgia" w:cs="Georgia" w:eastAsia="Georgia" w:hAnsi="Georgia"/>
          <w:b/>
          <w:bCs/>
          <w:sz w:val="23"/>
          <w:szCs w:val="23"/>
        </w:rPr>
        <w:t xml:space="preserve">V.2  </w:t>
      </w:r>
      <w:r>
        <w:rPr>
          <w:rFonts w:ascii="Georgia" w:cs="Georgia" w:eastAsia="Georgia" w:hAnsi="Georgia"/>
          <w:sz w:val="23"/>
          <w:szCs w:val="23"/>
        </w:rPr>
        <w:t xml:space="preserve">Dostane-li se dlužník do prodlení s vrácením více než dvou splátek nebo jedné splátky po dobu delší než tři měsíce, má věřitel právo od této smlouvy odstoupit a požadovat splnění celého dluhu najednou (§ 2394 zákona č. 89/2012 Sb., občanský zákoník).</w:t>
      </w:r>
    </w:p>
    <w:p>
      <w:pPr>
        <w:spacing w:after="140" w:line="300"/>
        <w:jc w:val="both"/>
      </w:pPr>
      <w:r>
        <w:rPr>
          <w:rFonts w:ascii="Georgia" w:cs="Georgia" w:eastAsia="Georgia" w:hAnsi="Georgia"/>
          <w:b/>
          <w:bCs/>
          <w:sz w:val="23"/>
          <w:szCs w:val="23"/>
        </w:rPr>
        <w:t xml:space="preserve">V.3  </w:t>
      </w:r>
      <w:r>
        <w:rPr>
          <w:rFonts w:ascii="Georgia" w:cs="Georgia" w:eastAsia="Georgia" w:hAnsi="Georgia"/>
          <w:sz w:val="23"/>
          <w:szCs w:val="23"/>
        </w:rPr>
        <w:t xml:space="preserve">Dlužník může vrátit půjčku nebo její část kdykoli předčasně.</w:t>
      </w:r>
    </w:p>
    <w:p>
      <w:pPr>
        <w:spacing w:after="20" w:before="320"/>
        <w:jc w:val="center"/>
      </w:pPr>
      <w:r>
        <w:rPr>
          <w:rFonts w:ascii="Consolas" w:cs="Consolas" w:eastAsia="Consolas" w:hAnsi="Consolas"/>
          <w:color w:val="7A1C24"/>
          <w:spacing w:val="30"/>
          <w:sz w:val="17"/>
          <w:szCs w:val="17"/>
        </w:rPr>
        <w:t xml:space="preserve">ČL. VI</w:t>
      </w:r>
    </w:p>
    <w:p>
      <w:pPr>
        <w:spacing w:after="140"/>
        <w:jc w:val="center"/>
      </w:pPr>
      <w:r>
        <w:rPr>
          <w:rFonts w:ascii="Georgia" w:cs="Georgia" w:eastAsia="Georgia" w:hAnsi="Georgia"/>
          <w:b/>
          <w:bCs/>
          <w:sz w:val="24"/>
          <w:szCs w:val="24"/>
        </w:rPr>
        <w:t xml:space="preserve">Další ujednání</w:t>
      </w:r>
    </w:p>
    <w:p>
      <w:pPr>
        <w:spacing w:after="140" w:line="300"/>
        <w:jc w:val="both"/>
      </w:pPr>
      <w:r>
        <w:rPr>
          <w:rFonts w:ascii="Georgia" w:cs="Georgia" w:eastAsia="Georgia" w:hAnsi="Georgia"/>
          <w:b/>
          <w:bCs/>
          <w:sz w:val="23"/>
          <w:szCs w:val="23"/>
        </w:rPr>
        <w:t xml:space="preserve">VI.1  </w:t>
      </w:r>
      <w:r>
        <w:rPr>
          <w:rFonts w:ascii="Georgia" w:cs="Georgia" w:eastAsia="Georgia" w:hAnsi="Georgia"/>
          <w:sz w:val="23"/>
          <w:szCs w:val="23"/>
        </w:rPr>
        <w:t xml:space="preserve">Smluvní strany se dohodly, že pokud se dlužník dostane do prodlení se zaplacením dluhu nebo jeho části, zavazuje se uhradit věřiteli zákonný úrok z prodlení, a to ode dne následujícího po dni splatnosti až do úplného zaplacení (§ 1968 a § 1970 zákona č. 89/2012 Sb., občanský zákoník; nařízení vlády č. 351/2013 Sb.).</w:t>
      </w:r>
    </w:p>
    <w:p>
      <w:pPr>
        <w:spacing w:after="140" w:line="300"/>
        <w:jc w:val="both"/>
      </w:pPr>
      <w:r>
        <w:rPr>
          <w:rFonts w:ascii="Georgia" w:cs="Georgia" w:eastAsia="Georgia" w:hAnsi="Georgia"/>
          <w:b/>
          <w:bCs/>
          <w:sz w:val="23"/>
          <w:szCs w:val="23"/>
        </w:rPr>
        <w:t xml:space="preserve">VI.2  </w:t>
      </w:r>
      <w:r>
        <w:rPr>
          <w:rFonts w:ascii="Georgia" w:cs="Georgia" w:eastAsia="Georgia" w:hAnsi="Georgia"/>
          <w:sz w:val="23"/>
          <w:szCs w:val="23"/>
        </w:rPr>
        <w:t xml:space="preserve">Smluvní strany berou na vědomí, že v případě smrti dlužníka přechází dluh na jeho dědice (§ 1701 zákona č. 89/2012 Sb., občanský zákoník) a v případě smrti věřitele je pohledávka součástí pozůstalosti.</w:t>
      </w:r>
    </w:p>
    <w:p>
      <w:pPr>
        <w:spacing w:after="140" w:line="300"/>
        <w:jc w:val="both"/>
      </w:pPr>
      <w:r>
        <w:rPr>
          <w:rFonts w:ascii="Georgia" w:cs="Georgia" w:eastAsia="Georgia" w:hAnsi="Georgia"/>
          <w:b/>
          <w:bCs/>
          <w:sz w:val="23"/>
          <w:szCs w:val="23"/>
        </w:rPr>
        <w:t xml:space="preserve">VI.3  </w:t>
      </w:r>
      <w:r>
        <w:rPr>
          <w:rFonts w:ascii="Georgia" w:cs="Georgia" w:eastAsia="Georgia" w:hAnsi="Georgia"/>
          <w:sz w:val="23"/>
          <w:szCs w:val="23"/>
        </w:rPr>
        <w:t xml:space="preserve">Věřitel vydá dlužníkovi na požádání písemné potvrzení o vrácení půjčky nebo její části (kvitanci).</w:t>
      </w:r>
    </w:p>
    <w:p>
      <w:pPr>
        <w:spacing w:after="20" w:before="320"/>
        <w:jc w:val="center"/>
      </w:pPr>
      <w:r>
        <w:rPr>
          <w:rFonts w:ascii="Consolas" w:cs="Consolas" w:eastAsia="Consolas" w:hAnsi="Consolas"/>
          <w:color w:val="7A1C24"/>
          <w:spacing w:val="30"/>
          <w:sz w:val="17"/>
          <w:szCs w:val="17"/>
        </w:rPr>
        <w:t xml:space="preserve">ČL. VII</w:t>
      </w:r>
    </w:p>
    <w:p>
      <w:pPr>
        <w:spacing w:after="140"/>
        <w:jc w:val="center"/>
      </w:pPr>
      <w:r>
        <w:rPr>
          <w:rFonts w:ascii="Georgia" w:cs="Georgia" w:eastAsia="Georgia" w:hAnsi="Georgia"/>
          <w:b/>
          <w:bCs/>
          <w:sz w:val="24"/>
          <w:szCs w:val="24"/>
        </w:rPr>
        <w:t xml:space="preserve">Závěrečná ustanovení</w:t>
      </w:r>
    </w:p>
    <w:p>
      <w:pPr>
        <w:spacing w:after="140" w:line="300"/>
        <w:jc w:val="both"/>
      </w:pPr>
      <w:r>
        <w:rPr>
          <w:rFonts w:ascii="Georgia" w:cs="Georgia" w:eastAsia="Georgia" w:hAnsi="Georgia"/>
          <w:b/>
          <w:bCs/>
          <w:sz w:val="23"/>
          <w:szCs w:val="23"/>
        </w:rPr>
        <w:t xml:space="preserve">VII.1  </w:t>
      </w:r>
      <w:r>
        <w:rPr>
          <w:rFonts w:ascii="Georgia" w:cs="Georgia" w:eastAsia="Georgia" w:hAnsi="Georgia"/>
          <w:sz w:val="23"/>
          <w:szCs w:val="23"/>
        </w:rPr>
        <w:t xml:space="preserve">Tato smlouva o půjčce byla vyhotovena ve dvou stejnopisech, po jednom pro každou ze smluvních stran. Smluvní strany se dohodly, že tuto smlouvu je možné měnit pouze očíslovaným písemným dodatkem podepsaným oběma stranami, který se stane její nedílnou součástí.</w:t>
      </w:r>
    </w:p>
    <w:p>
      <w:pPr>
        <w:spacing w:after="140" w:line="300"/>
        <w:jc w:val="both"/>
      </w:pPr>
      <w:r>
        <w:rPr>
          <w:rFonts w:ascii="Georgia" w:cs="Georgia" w:eastAsia="Georgia" w:hAnsi="Georgia"/>
          <w:b/>
          <w:bCs/>
          <w:sz w:val="23"/>
          <w:szCs w:val="23"/>
        </w:rPr>
        <w:t xml:space="preserve">VII.2  </w:t>
      </w:r>
      <w:r>
        <w:rPr>
          <w:rFonts w:ascii="Georgia" w:cs="Georgia" w:eastAsia="Georgia" w:hAnsi="Georgia"/>
          <w:sz w:val="23"/>
          <w:szCs w:val="23"/>
        </w:rPr>
        <w:t xml:space="preserve">Práva a povinnosti smluvních stran výslovně neupravené touto smlouvou se řídí zákonem č. 89/2012 Sb., občanský zákoník, zejména ustanoveními § 2390 a násl. o zápůjčce.</w:t>
      </w:r>
    </w:p>
    <w:p>
      <w:pPr>
        <w:spacing w:after="140" w:line="300"/>
        <w:jc w:val="both"/>
      </w:pPr>
      <w:r>
        <w:rPr>
          <w:rFonts w:ascii="Georgia" w:cs="Georgia" w:eastAsia="Georgia" w:hAnsi="Georgia"/>
          <w:b/>
          <w:bCs/>
          <w:sz w:val="23"/>
          <w:szCs w:val="23"/>
        </w:rPr>
        <w:t xml:space="preserve">VII.3  </w:t>
      </w:r>
      <w:r>
        <w:rPr>
          <w:rFonts w:ascii="Georgia" w:cs="Georgia" w:eastAsia="Georgia" w:hAnsi="Georgia"/>
          <w:sz w:val="23"/>
          <w:szCs w:val="23"/>
        </w:rPr>
        <w:t xml:space="preserve">Dlužník a věřitel potvrzují, že si smlouvu řádně přečetli, jejímu obsahu rozumějí a na důkaz souhlasu ji podepisují. Smluvní strany prohlašují, že smlouvu uzavřely svobodně a vážně, nikoli v tísni ani za nápadně nevýhodných podmínek.</w:t>
      </w:r>
    </w:p>
    <w:p>
      <w:pPr>
        <w:spacing w:after="700" w:before="400"/>
        <w:jc w:val="center"/>
      </w:pPr>
      <w:r>
        <w:rPr>
          <w:rFonts w:ascii="Georgia" w:cs="Georgia" w:eastAsia="Georgia" w:hAnsi="Georgia"/>
          <w:sz w:val="23"/>
          <w:szCs w:val="23"/>
        </w:rPr>
        <w:t xml:space="preserve">V </w:t>
      </w:r>
      <w:r>
        <w:rPr>
          <w:rFonts w:ascii="Georgia" w:cs="Georgia" w:eastAsia="Georgia" w:hAnsi="Georgia"/>
          <w:sz w:val="23"/>
          <w:szCs w:val="23"/>
          <w:shd w:fill="FFF3C4"/>
        </w:rPr>
        <w:t xml:space="preserve">[obec]</w:t>
      </w:r>
      <w:r>
        <w:rPr>
          <w:rFonts w:ascii="Georgia" w:cs="Georgia" w:eastAsia="Georgia" w:hAnsi="Georgia"/>
          <w:sz w:val="23"/>
          <w:szCs w:val="23"/>
        </w:rPr>
        <w:t xml:space="preserve">, dne </w:t>
      </w:r>
      <w:r>
        <w:rPr>
          <w:rFonts w:ascii="Georgia" w:cs="Georgia" w:eastAsia="Georgia" w:hAnsi="Georgia"/>
          <w:sz w:val="23"/>
          <w:szCs w:val="23"/>
          <w:shd w:fill="FFF3C4"/>
        </w:rPr>
        <w:t xml:space="preserve">[DD. MM. RRRR]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Věřitel (zapůjčitel)</w:t>
            </w:r>
          </w:p>
        </w:tc>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Dlužník (vydlužitel)</w:t>
            </w:r>
          </w:p>
        </w:tc>
      </w:tr>
    </w:tbl>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Vzor připravil JUDr. Milan Ficek, advokát (zapsaný v seznamu evropských advokátů ČAK pod ev. č. 50245) · smlouva-opujcce.cz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PŮJČCE (ZÁPŮJČCE) MEZI OSOBAMI BLÍZKÝMI</dc:title>
  <dc:creator>JUDr. Milan Ficek, advokát</dc:creator>
  <dc:description>uzavřená podle § 2390 a násl. zákona č. 89/2012 Sb., občanský zákoník</dc:description>
  <cp:lastModifiedBy>Un-named</cp:lastModifiedBy>
  <cp:revision>1</cp:revision>
  <dcterms:created xsi:type="dcterms:W3CDTF">2026-09-12T06:26:09.696Z</dcterms:created>
  <dcterms:modified xsi:type="dcterms:W3CDTF">2026-09-12T06:26:09.696Z</dcterms:modified>
</cp:coreProperties>
</file>

<file path=docProps/custom.xml><?xml version="1.0" encoding="utf-8"?>
<Properties xmlns="http://schemas.openxmlformats.org/officeDocument/2006/custom-properties" xmlns:vt="http://schemas.openxmlformats.org/officeDocument/2006/docPropsVTypes"/>
</file>