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eorgia" w:cs="Georgia" w:eastAsia="Georgia" w:hAnsi="Georgia"/>
          <w:b/>
          <w:bCs/>
          <w:spacing w:val="30"/>
          <w:sz w:val="30"/>
          <w:szCs w:val="30"/>
        </w:rPr>
        <w:t xml:space="preserve">SMLOUVA O BEZÚROČNÉ PŮJČCE (ZÁPŮJČCE)</w:t>
      </w:r>
    </w:p>
    <w:p>
      <w:pPr>
        <w:spacing w:after="400"/>
        <w:jc w:val="center"/>
      </w:pPr>
      <w:r>
        <w:rPr>
          <w:rFonts w:ascii="Consolas" w:cs="Consolas" w:eastAsia="Consolas" w:hAnsi="Consolas"/>
          <w:color w:val="555555"/>
          <w:sz w:val="17"/>
          <w:szCs w:val="17"/>
        </w:rPr>
        <w:t xml:space="preserve">UZAVŘENÁ PODLE § 2390 A NÁSL. ZÁKONA Č. 89/2012 SB., OBČANSKÝ ZÁKONÍK</w:t>
      </w:r>
    </w:p>
    <w:p>
      <w:pPr>
        <w:spacing w:after="60" w:before="200"/>
      </w:pPr>
      <w:r>
        <w:rPr>
          <w:rFonts w:ascii="Georgia" w:cs="Georgia" w:eastAsia="Georgia" w:hAnsi="Georgia"/>
          <w:b/>
          <w:bCs/>
          <w:sz w:val="23"/>
          <w:szCs w:val="23"/>
        </w:rPr>
        <w:t xml:space="preserve">Věřitel (zapůjčitel):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„věřitel“)</w:t>
      </w:r>
    </w:p>
    <w:p>
      <w:pPr>
        <w:spacing w:after="60" w:before="200"/>
      </w:pPr>
      <w:r>
        <w:rPr>
          <w:rFonts w:ascii="Georgia" w:cs="Georgia" w:eastAsia="Georgia" w:hAnsi="Georgia"/>
          <w:b/>
          <w:bCs/>
          <w:sz w:val="23"/>
          <w:szCs w:val="23"/>
        </w:rPr>
        <w:t xml:space="preserve">Dlužník (vydlužitel):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„dlužník“)</w:t>
      </w:r>
    </w:p>
    <w:p>
      <w:pPr>
        <w:spacing w:after="200"/>
      </w:pPr>
      <w:r>
        <w:rPr>
          <w:rFonts w:ascii="Georgia" w:cs="Georgia" w:eastAsia="Georgia" w:hAnsi="Georgia"/>
          <w:i/>
          <w:iCs/>
          <w:color w:val="444444"/>
          <w:sz w:val="21"/>
          <w:szCs w:val="21"/>
        </w:rPr>
        <w:t xml:space="preserve">(dále společně jen „smluvní strany“)</w:t>
      </w:r>
    </w:p>
    <w:p>
      <w:pPr>
        <w:spacing w:after="20" w:before="320"/>
        <w:jc w:val="center"/>
      </w:pPr>
      <w:r>
        <w:rPr>
          <w:rFonts w:ascii="Consolas" w:cs="Consolas" w:eastAsia="Consolas" w:hAnsi="Consolas"/>
          <w:color w:val="7A1C24"/>
          <w:spacing w:val="30"/>
          <w:sz w:val="17"/>
          <w:szCs w:val="17"/>
        </w:rPr>
        <w:t xml:space="preserve">ČL. I</w:t>
      </w:r>
    </w:p>
    <w:p>
      <w:pPr>
        <w:spacing w:after="140"/>
        <w:jc w:val="center"/>
      </w:pPr>
      <w:r>
        <w:rPr>
          <w:rFonts w:ascii="Georgia" w:cs="Georgia" w:eastAsia="Georgia" w:hAnsi="Georgia"/>
          <w:b/>
          <w:bCs/>
          <w:sz w:val="24"/>
          <w:szCs w:val="24"/>
        </w:rPr>
        <w:t xml:space="preserve">Předmět smlouvy</w:t>
      </w:r>
    </w:p>
    <w:p>
      <w:pPr>
        <w:spacing w:after="140" w:line="300"/>
        <w:jc w:val="both"/>
      </w:pPr>
      <w:r>
        <w:rPr>
          <w:rFonts w:ascii="Georgia" w:cs="Georgia" w:eastAsia="Georgia" w:hAnsi="Georgia"/>
          <w:b/>
          <w:bCs/>
          <w:sz w:val="23"/>
          <w:szCs w:val="23"/>
        </w:rPr>
        <w:t xml:space="preserve">I.1  </w:t>
      </w:r>
      <w:r>
        <w:rPr>
          <w:rFonts w:ascii="Georgia" w:cs="Georgia" w:eastAsia="Georgia" w:hAnsi="Georgia"/>
          <w:sz w:val="23"/>
          <w:szCs w:val="23"/>
        </w:rPr>
        <w:t xml:space="preserve">Věřitel přenechává dlužníkovi peněžní prostředky ve výši </w:t>
      </w:r>
      <w:r>
        <w:rPr>
          <w:rFonts w:ascii="Georgia" w:cs="Georgia" w:eastAsia="Georgia" w:hAnsi="Georgia"/>
          <w:sz w:val="23"/>
          <w:szCs w:val="23"/>
          <w:shd w:fill="FFF3C4"/>
        </w:rPr>
        <w:t xml:space="preserve">[100 000]</w:t>
      </w:r>
      <w:r>
        <w:rPr>
          <w:rFonts w:ascii="Georgia" w:cs="Georgia" w:eastAsia="Georgia" w:hAnsi="Georgia"/>
          <w:sz w:val="23"/>
          <w:szCs w:val="23"/>
        </w:rPr>
        <w:t xml:space="preserve"> Kč (slovy: </w:t>
      </w:r>
      <w:r>
        <w:rPr>
          <w:rFonts w:ascii="Georgia" w:cs="Georgia" w:eastAsia="Georgia" w:hAnsi="Georgia"/>
          <w:sz w:val="23"/>
          <w:szCs w:val="23"/>
          <w:shd w:fill="FFF3C4"/>
        </w:rPr>
        <w:t xml:space="preserve">[sto tisíc korun českých]</w:t>
      </w:r>
      <w:r>
        <w:rPr>
          <w:rFonts w:ascii="Georgia" w:cs="Georgia" w:eastAsia="Georgia" w:hAnsi="Georgia"/>
          <w:sz w:val="23"/>
          <w:szCs w:val="23"/>
        </w:rPr>
        <w:t xml:space="preserve">) (dále jen „půjčka“) a dlužník se zavazuje půjčku věřiteli vrátit za podmínek této smlouvy.</w:t>
      </w:r>
    </w:p>
    <w:p>
      <w:pPr>
        <w:spacing w:after="20" w:before="320"/>
        <w:jc w:val="center"/>
      </w:pPr>
      <w:r>
        <w:rPr>
          <w:rFonts w:ascii="Consolas" w:cs="Consolas" w:eastAsia="Consolas" w:hAnsi="Consolas"/>
          <w:color w:val="7A1C24"/>
          <w:spacing w:val="30"/>
          <w:sz w:val="17"/>
          <w:szCs w:val="17"/>
        </w:rPr>
        <w:t xml:space="preserve">ČL. II</w:t>
      </w:r>
    </w:p>
    <w:p>
      <w:pPr>
        <w:spacing w:after="140"/>
        <w:jc w:val="center"/>
      </w:pPr>
      <w:r>
        <w:rPr>
          <w:rFonts w:ascii="Georgia" w:cs="Georgia" w:eastAsia="Georgia" w:hAnsi="Georgia"/>
          <w:b/>
          <w:bCs/>
          <w:sz w:val="24"/>
          <w:szCs w:val="24"/>
        </w:rPr>
        <w:t xml:space="preserve">Způsob poskytnutí peněz</w:t>
      </w:r>
    </w:p>
    <w:p>
      <w:pPr>
        <w:spacing w:after="140" w:line="300"/>
        <w:jc w:val="both"/>
      </w:pPr>
      <w:r>
        <w:rPr>
          <w:rFonts w:ascii="Georgia" w:cs="Georgia" w:eastAsia="Georgia" w:hAnsi="Georgia"/>
          <w:b/>
          <w:bCs/>
          <w:sz w:val="23"/>
          <w:szCs w:val="23"/>
        </w:rPr>
        <w:t xml:space="preserve">II.1  </w:t>
      </w:r>
      <w:r>
        <w:rPr>
          <w:rFonts w:ascii="Georgia" w:cs="Georgia" w:eastAsia="Georgia" w:hAnsi="Georgia"/>
          <w:sz w:val="23"/>
          <w:szCs w:val="23"/>
        </w:rPr>
        <w:t xml:space="preserve">Půjčka bude dlužníkovi poskytnuta převodem na bankovní účet dlužníka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nejpozději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Zápůjčka vzniká okamžikem připsání peněz na účet dlužníka.</w:t>
      </w:r>
    </w:p>
    <w:p>
      <w:pPr>
        <w:pBdr>
          <w:left w:val="single" w:color="BBBBBB" w:sz="6" w:space="8"/>
        </w:pBdr>
        <w:spacing w:after="140"/>
        <w:ind w:left="360"/>
      </w:pPr>
      <w:r>
        <w:rPr>
          <w:rFonts w:ascii="Georgia" w:cs="Georgia" w:eastAsia="Georgia" w:hAnsi="Georgia"/>
          <w:i/>
          <w:iCs/>
          <w:color w:val="555555"/>
          <w:sz w:val="19"/>
          <w:szCs w:val="19"/>
        </w:rPr>
        <w:t xml:space="preserve">Alternativa při hotovosti: „Půjčka byla dlužníkovi předána v hotovosti před podpisem této smlouvy; dlužník svým podpisem potvrzuje její převzetí.“</w:t>
      </w:r>
    </w:p>
    <w:p>
      <w:pPr>
        <w:spacing w:after="20" w:before="320"/>
        <w:jc w:val="center"/>
      </w:pPr>
      <w:r>
        <w:rPr>
          <w:rFonts w:ascii="Consolas" w:cs="Consolas" w:eastAsia="Consolas" w:hAnsi="Consolas"/>
          <w:color w:val="7A1C24"/>
          <w:spacing w:val="30"/>
          <w:sz w:val="17"/>
          <w:szCs w:val="17"/>
        </w:rPr>
        <w:t xml:space="preserve">ČL. III</w:t>
      </w:r>
    </w:p>
    <w:p>
      <w:pPr>
        <w:spacing w:after="140"/>
        <w:jc w:val="center"/>
      </w:pPr>
      <w:r>
        <w:rPr>
          <w:rFonts w:ascii="Georgia" w:cs="Georgia" w:eastAsia="Georgia" w:hAnsi="Georgia"/>
          <w:b/>
          <w:bCs/>
          <w:sz w:val="24"/>
          <w:szCs w:val="24"/>
        </w:rPr>
        <w:t xml:space="preserve">Bezúročnost půjčky</w:t>
      </w:r>
    </w:p>
    <w:p>
      <w:pPr>
        <w:spacing w:after="140" w:line="300"/>
        <w:jc w:val="both"/>
      </w:pPr>
      <w:r>
        <w:rPr>
          <w:rFonts w:ascii="Georgia" w:cs="Georgia" w:eastAsia="Georgia" w:hAnsi="Georgia"/>
          <w:b/>
          <w:bCs/>
          <w:sz w:val="23"/>
          <w:szCs w:val="23"/>
        </w:rPr>
        <w:t xml:space="preserve">III.1  </w:t>
      </w:r>
      <w:r>
        <w:rPr>
          <w:rFonts w:ascii="Georgia" w:cs="Georgia" w:eastAsia="Georgia" w:hAnsi="Georgia"/>
          <w:sz w:val="23"/>
          <w:szCs w:val="23"/>
        </w:rPr>
        <w:t xml:space="preserve">Smluvní strany výslovně sjednávají, že půjčka je bezúročná. Věřitel nemá nárok na smluvní úrok ani na jinou odměnu za poskytnutí půjčky (§ 2392 zákona č. 89/2012 Sb., občanský zákoník).</w:t>
      </w:r>
    </w:p>
    <w:p>
      <w:pPr>
        <w:spacing w:after="140" w:line="300"/>
        <w:jc w:val="both"/>
      </w:pPr>
      <w:r>
        <w:rPr>
          <w:rFonts w:ascii="Georgia" w:cs="Georgia" w:eastAsia="Georgia" w:hAnsi="Georgia"/>
          <w:b/>
          <w:bCs/>
          <w:sz w:val="23"/>
          <w:szCs w:val="23"/>
        </w:rPr>
        <w:t xml:space="preserve">III.2  </w:t>
      </w:r>
      <w:r>
        <w:rPr>
          <w:rFonts w:ascii="Georgia" w:cs="Georgia" w:eastAsia="Georgia" w:hAnsi="Georgia"/>
          <w:sz w:val="23"/>
          <w:szCs w:val="23"/>
        </w:rPr>
        <w:t xml:space="preserve">Bezúročnost půjčky se nedotýká práva věřitele na zákonný úrok z prodlení podle čl. V této smlouvy, dostane-li se dlužník do prodlení.</w:t>
      </w:r>
    </w:p>
    <w:p>
      <w:pPr>
        <w:spacing w:after="20" w:before="320"/>
        <w:jc w:val="center"/>
      </w:pPr>
      <w:r>
        <w:rPr>
          <w:rFonts w:ascii="Consolas" w:cs="Consolas" w:eastAsia="Consolas" w:hAnsi="Consolas"/>
          <w:color w:val="7A1C24"/>
          <w:spacing w:val="30"/>
          <w:sz w:val="17"/>
          <w:szCs w:val="17"/>
        </w:rPr>
        <w:t xml:space="preserve">ČL. IV</w:t>
      </w:r>
    </w:p>
    <w:p>
      <w:pPr>
        <w:spacing w:after="140"/>
        <w:jc w:val="center"/>
      </w:pPr>
      <w:r>
        <w:rPr>
          <w:rFonts w:ascii="Georgia" w:cs="Georgia" w:eastAsia="Georgia" w:hAnsi="Georgia"/>
          <w:b/>
          <w:bCs/>
          <w:sz w:val="24"/>
          <w:szCs w:val="24"/>
        </w:rPr>
        <w:t xml:space="preserve">Vrácení dluhu</w:t>
      </w:r>
    </w:p>
    <w:p>
      <w:pPr>
        <w:spacing w:after="140" w:line="300"/>
        <w:jc w:val="both"/>
      </w:pPr>
      <w:r>
        <w:rPr>
          <w:rFonts w:ascii="Georgia" w:cs="Georgia" w:eastAsia="Georgia" w:hAnsi="Georgia"/>
          <w:b/>
          <w:bCs/>
          <w:sz w:val="23"/>
          <w:szCs w:val="23"/>
        </w:rPr>
        <w:t xml:space="preserve">IV.1  </w:t>
      </w:r>
      <w:r>
        <w:rPr>
          <w:rFonts w:ascii="Georgia" w:cs="Georgia" w:eastAsia="Georgia" w:hAnsi="Georgia"/>
          <w:sz w:val="23"/>
          <w:szCs w:val="23"/>
        </w:rPr>
        <w:t xml:space="preserve">Dlužník vrátí věřiteli půjčku jednorázově, nejpozději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převodem na bankovní účet věřitele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w:t>
      </w:r>
    </w:p>
    <w:p>
      <w:pPr>
        <w:pBdr>
          <w:left w:val="single" w:color="BBBBBB" w:sz="6" w:space="8"/>
        </w:pBdr>
        <w:spacing w:after="140"/>
        <w:ind w:left="360"/>
      </w:pPr>
      <w:r>
        <w:rPr>
          <w:rFonts w:ascii="Georgia" w:cs="Georgia" w:eastAsia="Georgia" w:hAnsi="Georgia"/>
          <w:i/>
          <w:iCs/>
          <w:color w:val="555555"/>
          <w:sz w:val="19"/>
          <w:szCs w:val="19"/>
        </w:rPr>
        <w:t xml:space="preserve">Alternativa ve splátkách: „Dlužník vrátí půjčku v </w:t>
      </w:r>
      <w:r>
        <w:rPr>
          <w:rFonts w:ascii="Georgia" w:cs="Georgia" w:eastAsia="Georgia" w:hAnsi="Georgia"/>
          <w:i/>
          <w:iCs/>
          <w:color w:val="555555"/>
          <w:sz w:val="19"/>
          <w:szCs w:val="19"/>
          <w:shd w:fill="FFF3C4"/>
        </w:rPr>
        <w:t xml:space="preserve">[10]</w:t>
      </w:r>
      <w:r>
        <w:rPr>
          <w:rFonts w:ascii="Georgia" w:cs="Georgia" w:eastAsia="Georgia" w:hAnsi="Georgia"/>
          <w:i/>
          <w:iCs/>
          <w:color w:val="555555"/>
          <w:sz w:val="19"/>
          <w:szCs w:val="19"/>
        </w:rPr>
        <w:t xml:space="preserve"> měsíčních splátkách po </w:t>
      </w:r>
      <w:r>
        <w:rPr>
          <w:rFonts w:ascii="Georgia" w:cs="Georgia" w:eastAsia="Georgia" w:hAnsi="Georgia"/>
          <w:i/>
          <w:iCs/>
          <w:color w:val="555555"/>
          <w:sz w:val="19"/>
          <w:szCs w:val="19"/>
          <w:shd w:fill="FFF3C4"/>
        </w:rPr>
        <w:t xml:space="preserve">[10 000]</w:t>
      </w:r>
      <w:r>
        <w:rPr>
          <w:rFonts w:ascii="Georgia" w:cs="Georgia" w:eastAsia="Georgia" w:hAnsi="Georgia"/>
          <w:i/>
          <w:iCs/>
          <w:color w:val="555555"/>
          <w:sz w:val="19"/>
          <w:szCs w:val="19"/>
        </w:rPr>
        <w:t xml:space="preserve"> Kč, splatných vždy do </w:t>
      </w:r>
      <w:r>
        <w:rPr>
          <w:rFonts w:ascii="Georgia" w:cs="Georgia" w:eastAsia="Georgia" w:hAnsi="Georgia"/>
          <w:i/>
          <w:iCs/>
          <w:color w:val="555555"/>
          <w:sz w:val="19"/>
          <w:szCs w:val="19"/>
          <w:shd w:fill="FFF3C4"/>
        </w:rPr>
        <w:t xml:space="preserve">[15.]</w:t>
      </w:r>
      <w:r>
        <w:rPr>
          <w:rFonts w:ascii="Georgia" w:cs="Georgia" w:eastAsia="Georgia" w:hAnsi="Georgia"/>
          <w:i/>
          <w:iCs/>
          <w:color w:val="555555"/>
          <w:sz w:val="19"/>
          <w:szCs w:val="19"/>
        </w:rPr>
        <w:t xml:space="preserve"> dne kalendářního měsíce, počínaje měsícem </w:t>
      </w:r>
      <w:r>
        <w:rPr>
          <w:rFonts w:ascii="Georgia" w:cs="Georgia" w:eastAsia="Georgia" w:hAnsi="Georgia"/>
          <w:i/>
          <w:iCs/>
          <w:color w:val="555555"/>
          <w:sz w:val="19"/>
          <w:szCs w:val="19"/>
          <w:shd w:fill="FFF3C4"/>
        </w:rPr>
        <w:t xml:space="preserve">[MM/RRRR]</w:t>
      </w:r>
      <w:r>
        <w:rPr>
          <w:rFonts w:ascii="Georgia" w:cs="Georgia" w:eastAsia="Georgia" w:hAnsi="Georgia"/>
          <w:i/>
          <w:iCs/>
          <w:color w:val="555555"/>
          <w:sz w:val="19"/>
          <w:szCs w:val="19"/>
        </w:rPr>
        <w:t xml:space="preserve">.“</w:t>
      </w:r>
    </w:p>
    <w:p>
      <w:pPr>
        <w:spacing w:after="140" w:line="300"/>
        <w:jc w:val="both"/>
      </w:pPr>
      <w:r>
        <w:rPr>
          <w:rFonts w:ascii="Georgia" w:cs="Georgia" w:eastAsia="Georgia" w:hAnsi="Georgia"/>
          <w:b/>
          <w:bCs/>
          <w:sz w:val="23"/>
          <w:szCs w:val="23"/>
        </w:rPr>
        <w:t xml:space="preserve">IV.2  </w:t>
      </w:r>
      <w:r>
        <w:rPr>
          <w:rFonts w:ascii="Georgia" w:cs="Georgia" w:eastAsia="Georgia" w:hAnsi="Georgia"/>
          <w:sz w:val="23"/>
          <w:szCs w:val="23"/>
        </w:rPr>
        <w:t xml:space="preserve">Dlužník je oprávněn vrátit půjčku nebo její část kdykoli před sjednanou splatností.</w:t>
      </w:r>
    </w:p>
    <w:p>
      <w:pPr>
        <w:spacing w:after="20" w:before="320"/>
        <w:jc w:val="center"/>
      </w:pPr>
      <w:r>
        <w:rPr>
          <w:rFonts w:ascii="Consolas" w:cs="Consolas" w:eastAsia="Consolas" w:hAnsi="Consolas"/>
          <w:color w:val="7A1C24"/>
          <w:spacing w:val="30"/>
          <w:sz w:val="17"/>
          <w:szCs w:val="17"/>
        </w:rPr>
        <w:t xml:space="preserve">ČL. V</w:t>
      </w:r>
    </w:p>
    <w:p>
      <w:pPr>
        <w:spacing w:after="140"/>
        <w:jc w:val="center"/>
      </w:pPr>
      <w:r>
        <w:rPr>
          <w:rFonts w:ascii="Georgia" w:cs="Georgia" w:eastAsia="Georgia" w:hAnsi="Georgia"/>
          <w:b/>
          <w:bCs/>
          <w:sz w:val="24"/>
          <w:szCs w:val="24"/>
        </w:rPr>
        <w:t xml:space="preserve">Další práva a povinnosti</w:t>
      </w:r>
    </w:p>
    <w:p>
      <w:pPr>
        <w:spacing w:after="140" w:line="300"/>
        <w:jc w:val="both"/>
      </w:pPr>
      <w:r>
        <w:rPr>
          <w:rFonts w:ascii="Georgia" w:cs="Georgia" w:eastAsia="Georgia" w:hAnsi="Georgia"/>
          <w:b/>
          <w:bCs/>
          <w:sz w:val="23"/>
          <w:szCs w:val="23"/>
        </w:rPr>
        <w:t xml:space="preserve">V.1  </w:t>
      </w:r>
      <w:r>
        <w:rPr>
          <w:rFonts w:ascii="Georgia" w:cs="Georgia" w:eastAsia="Georgia" w:hAnsi="Georgia"/>
          <w:sz w:val="23"/>
          <w:szCs w:val="23"/>
        </w:rPr>
        <w:t xml:space="preserve">Smluvní strany se dohodly, že pokud se dlužník dostane do prodlení se zaplacením dluhu nebo jeho části, zavazuje se uhradit věřiteli zákonný úrok z prodlení, a to ode dne následujícího po dni splatnosti až do úplného zaplacení (§ 1968 a § 1970 zákona č. 89/2012 Sb., občanský zákoník; nařízení vlády č. 351/2013 Sb.).</w:t>
      </w:r>
    </w:p>
    <w:p>
      <w:pPr>
        <w:spacing w:after="140" w:line="300"/>
        <w:jc w:val="both"/>
      </w:pPr>
      <w:r>
        <w:rPr>
          <w:rFonts w:ascii="Georgia" w:cs="Georgia" w:eastAsia="Georgia" w:hAnsi="Georgia"/>
          <w:b/>
          <w:bCs/>
          <w:sz w:val="23"/>
          <w:szCs w:val="23"/>
        </w:rPr>
        <w:t xml:space="preserve">V.2  </w:t>
      </w:r>
      <w:r>
        <w:rPr>
          <w:rFonts w:ascii="Georgia" w:cs="Georgia" w:eastAsia="Georgia" w:hAnsi="Georgia"/>
          <w:sz w:val="23"/>
          <w:szCs w:val="23"/>
        </w:rPr>
        <w:t xml:space="preserve">Věřitel vydá dlužníkovi na požádání písemné potvrzení o vrácení půjčky (kvitanci).</w:t>
      </w:r>
    </w:p>
    <w:p>
      <w:pPr>
        <w:spacing w:after="20" w:before="320"/>
        <w:jc w:val="center"/>
      </w:pPr>
      <w:r>
        <w:rPr>
          <w:rFonts w:ascii="Consolas" w:cs="Consolas" w:eastAsia="Consolas" w:hAnsi="Consolas"/>
          <w:color w:val="7A1C24"/>
          <w:spacing w:val="30"/>
          <w:sz w:val="17"/>
          <w:szCs w:val="17"/>
        </w:rPr>
        <w:t xml:space="preserve">ČL. VI</w:t>
      </w:r>
    </w:p>
    <w:p>
      <w:pPr>
        <w:spacing w:after="140"/>
        <w:jc w:val="center"/>
      </w:pPr>
      <w:r>
        <w:rPr>
          <w:rFonts w:ascii="Georgia" w:cs="Georgia" w:eastAsia="Georgia" w:hAnsi="Georgia"/>
          <w:b/>
          <w:bCs/>
          <w:sz w:val="24"/>
          <w:szCs w:val="24"/>
        </w:rPr>
        <w:t xml:space="preserve">Doručování</w:t>
      </w:r>
    </w:p>
    <w:p>
      <w:pPr>
        <w:spacing w:after="140" w:line="300"/>
        <w:jc w:val="both"/>
      </w:pPr>
      <w:r>
        <w:rPr>
          <w:rFonts w:ascii="Georgia" w:cs="Georgia" w:eastAsia="Georgia" w:hAnsi="Georgia"/>
          <w:b/>
          <w:bCs/>
          <w:sz w:val="23"/>
          <w:szCs w:val="23"/>
        </w:rPr>
        <w:t xml:space="preserve">VI.1  </w:t>
      </w:r>
      <w:r>
        <w:rPr>
          <w:rFonts w:ascii="Georgia" w:cs="Georgia" w:eastAsia="Georgia" w:hAnsi="Georgia"/>
          <w:sz w:val="23"/>
          <w:szCs w:val="23"/>
        </w:rPr>
        <w:t xml:space="preserve">Smluvní strany se dohodly, že veškeré písemnosti si doručují doporučeně do vlastních rukou prostřednictvím držitele poštovní licence, a to vždy nejméně s desetidenní úložní dobou, nebo osobně. Stranám se doručuje na adresy uvedené v záhlaví této smlouvy. V případě, že své adresy od okamžiku podpisu této smlouvy změnily, jsou povinny tuto skutečnost bez zbytečného odkladu sdělit druhé smluvní straně. Osobám zapsaným ve veřejných rejstřících je možno vždy doručovat i na adresy uvedené v těchto rejstřících. Za doručenou zásilku se považuje také zásilka odeslaná podle předchozí věty,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spacing w:after="20" w:before="320"/>
        <w:jc w:val="center"/>
      </w:pPr>
      <w:r>
        <w:rPr>
          <w:rFonts w:ascii="Consolas" w:cs="Consolas" w:eastAsia="Consolas" w:hAnsi="Consolas"/>
          <w:color w:val="7A1C24"/>
          <w:spacing w:val="30"/>
          <w:sz w:val="17"/>
          <w:szCs w:val="17"/>
        </w:rPr>
        <w:t xml:space="preserve">ČL. VII</w:t>
      </w:r>
    </w:p>
    <w:p>
      <w:pPr>
        <w:spacing w:after="140"/>
        <w:jc w:val="center"/>
      </w:pPr>
      <w:r>
        <w:rPr>
          <w:rFonts w:ascii="Georgia" w:cs="Georgia" w:eastAsia="Georgia" w:hAnsi="Georgia"/>
          <w:b/>
          <w:bCs/>
          <w:sz w:val="24"/>
          <w:szCs w:val="24"/>
        </w:rPr>
        <w:t xml:space="preserve">Závěrečná ustanovení</w:t>
      </w:r>
    </w:p>
    <w:p>
      <w:pPr>
        <w:spacing w:after="140" w:line="300"/>
        <w:jc w:val="both"/>
      </w:pPr>
      <w:r>
        <w:rPr>
          <w:rFonts w:ascii="Georgia" w:cs="Georgia" w:eastAsia="Georgia" w:hAnsi="Georgia"/>
          <w:b/>
          <w:bCs/>
          <w:sz w:val="23"/>
          <w:szCs w:val="23"/>
        </w:rPr>
        <w:t xml:space="preserve">VII.1  </w:t>
      </w:r>
      <w:r>
        <w:rPr>
          <w:rFonts w:ascii="Georgia" w:cs="Georgia" w:eastAsia="Georgia" w:hAnsi="Georgia"/>
          <w:sz w:val="23"/>
          <w:szCs w:val="23"/>
        </w:rPr>
        <w:t xml:space="preserve">Tato smlouva o půjčce byla vyhotovena ve dvou stejnopisech, po jednom pro každou ze smluvních stran. Smluvní strany se dohodly, že tuto smlouvu je možné měnit pouze očíslovaným písemným dodatkem podepsaným oběma stranami, který se stane její nedílnou součástí.</w:t>
      </w:r>
    </w:p>
    <w:p>
      <w:pPr>
        <w:spacing w:after="140" w:line="300"/>
        <w:jc w:val="both"/>
      </w:pPr>
      <w:r>
        <w:rPr>
          <w:rFonts w:ascii="Georgia" w:cs="Georgia" w:eastAsia="Georgia" w:hAnsi="Georgia"/>
          <w:b/>
          <w:bCs/>
          <w:sz w:val="23"/>
          <w:szCs w:val="23"/>
        </w:rPr>
        <w:t xml:space="preserve">VII.2  </w:t>
      </w:r>
      <w:r>
        <w:rPr>
          <w:rFonts w:ascii="Georgia" w:cs="Georgia" w:eastAsia="Georgia" w:hAnsi="Georgia"/>
          <w:sz w:val="23"/>
          <w:szCs w:val="23"/>
        </w:rPr>
        <w:t xml:space="preserve">Práva a povinnosti smluvních stran výslovně neupravené touto smlouvou se řídí zákonem č. 89/2012 Sb., občanský zákoník, zejména ustanoveními § 2390 a násl. o zápůjčce.</w:t>
      </w:r>
    </w:p>
    <w:p>
      <w:pPr>
        <w:spacing w:after="140" w:line="300"/>
        <w:jc w:val="both"/>
      </w:pPr>
      <w:r>
        <w:rPr>
          <w:rFonts w:ascii="Georgia" w:cs="Georgia" w:eastAsia="Georgia" w:hAnsi="Georgia"/>
          <w:b/>
          <w:bCs/>
          <w:sz w:val="23"/>
          <w:szCs w:val="23"/>
        </w:rPr>
        <w:t xml:space="preserve">VII.3  </w:t>
      </w:r>
      <w:r>
        <w:rPr>
          <w:rFonts w:ascii="Georgia" w:cs="Georgia" w:eastAsia="Georgia" w:hAnsi="Georgia"/>
          <w:sz w:val="23"/>
          <w:szCs w:val="23"/>
        </w:rPr>
        <w:t xml:space="preserve">Dlužník a věřitel potvrzují, že si smlouvu řádně přečetli, jejímu obsahu rozumějí a na důkaz souhlasu ji podepisují. Smluvní strany prohlašují, že smlouvu uzavřely svobodně a vážně, nikoli v tísni ani za nápadně nevýhodných podmínek.</w:t>
      </w:r>
    </w:p>
    <w:p>
      <w:pPr>
        <w:spacing w:after="700" w:before="400"/>
        <w:jc w:val="center"/>
      </w:pPr>
      <w:r>
        <w:rPr>
          <w:rFonts w:ascii="Georgia" w:cs="Georgia" w:eastAsia="Georgia" w:hAnsi="Georgia"/>
          <w:sz w:val="23"/>
          <w:szCs w:val="23"/>
        </w:rPr>
        <w:t xml:space="preserve">V </w:t>
      </w:r>
      <w:r>
        <w:rPr>
          <w:rFonts w:ascii="Georgia" w:cs="Georgia" w:eastAsia="Georgia" w:hAnsi="Georgia"/>
          <w:sz w:val="23"/>
          <w:szCs w:val="23"/>
          <w:shd w:fill="FFF3C4"/>
        </w:rPr>
        <w:t xml:space="preserve">[obec]</w:t>
      </w:r>
      <w:r>
        <w:rPr>
          <w:rFonts w:ascii="Georgia" w:cs="Georgia" w:eastAsia="Georgia" w:hAnsi="Georgia"/>
          <w:sz w:val="23"/>
          <w:szCs w:val="23"/>
        </w:rPr>
        <w:t xml:space="preserve">, dne </w:t>
      </w:r>
      <w:r>
        <w:rPr>
          <w:rFonts w:ascii="Georgia" w:cs="Georgia" w:eastAsia="Georgia" w:hAnsi="Georgia"/>
          <w:sz w:val="23"/>
          <w:szCs w:val="23"/>
          <w:shd w:fill="FFF3C4"/>
        </w:rPr>
        <w:t xml:space="preserve">[DD. MM. RRRR]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Věřitel (zapůjčitel)</w:t>
            </w:r>
          </w:p>
        </w:tc>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Dlužník (vydlužitel)</w:t>
            </w:r>
          </w:p>
        </w:tc>
      </w:tr>
    </w:tbl>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Vzor připravil JUDr. Milan Ficek, advokát (zapsaný v seznamu evropských advokátů ČAK pod ev. č. 50245) · smlouva-opujcce.cz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BEZÚROČNÉ PŮJČCE (ZÁPŮJČCE)</dc:title>
  <dc:creator>JUDr. Milan Ficek, advokát</dc:creator>
  <dc:description>uzavřená podle § 2390 a násl. zákona č. 89/2012 Sb., občanský zákoník</dc:description>
  <cp:lastModifiedBy>Un-named</cp:lastModifiedBy>
  <cp:revision>1</cp:revision>
  <dcterms:created xsi:type="dcterms:W3CDTF">2026-09-12T06:26:09.642Z</dcterms:created>
  <dcterms:modified xsi:type="dcterms:W3CDTF">2026-09-12T06:26:09.642Z</dcterms:modified>
</cp:coreProperties>
</file>

<file path=docProps/custom.xml><?xml version="1.0" encoding="utf-8"?>
<Properties xmlns="http://schemas.openxmlformats.org/officeDocument/2006/custom-properties" xmlns:vt="http://schemas.openxmlformats.org/officeDocument/2006/docPropsVTypes"/>
</file>