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20" w:before="0" w:line="276"/>
        <w:jc w:val="center"/>
      </w:pPr>
      <w:r>
        <w:rPr>
          <w:rFonts w:ascii="Times New Roman" w:cs="Times New Roman" w:eastAsia="Times New Roman" w:hAnsi="Times New Roman"/>
          <w:b w:val="false"/>
          <w:bCs w:val="false"/>
          <w:i w:val="false"/>
          <w:iCs w:val="false"/>
          <w:sz w:val="24"/>
          <w:szCs w:val="24"/>
        </w:rPr>
        <w:t xml:space="preserve">Model s fiktivními údaji. Podpisová místa nejsou podepsána.</w:t>
      </w:r>
    </w:p>
    <w:p>
      <w:pPr>
        <w:keepNext/>
        <w:spacing w:after="120" w:before="240" w:line="276"/>
        <w:jc w:val="center"/>
      </w:pPr>
      <w:r>
        <w:rPr>
          <w:rFonts w:ascii="Times New Roman" w:cs="Times New Roman" w:eastAsia="Times New Roman" w:hAnsi="Times New Roman"/>
          <w:b/>
          <w:bCs/>
          <w:i w:val="false"/>
          <w:iCs w:val="false"/>
          <w:sz w:val="32"/>
          <w:szCs w:val="32"/>
        </w:rPr>
        <w:t xml:space="preserve">SMLOUVA O PŮJČCE (ZÁPŮJČKA)</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uzavřená podle § 2390 a násl.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Věřitel (zapůjčitel):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Peter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14. 3. 1981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Botanická 14,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Občanství:</w:t>
      </w:r>
      <w:r>
        <w:rPr>
          <w:rFonts w:ascii="Times New Roman" w:cs="Times New Roman" w:eastAsia="Times New Roman" w:hAnsi="Times New Roman"/>
          <w:b w:val="false"/>
          <w:bCs w:val="false"/>
          <w:i w:val="false"/>
          <w:iCs w:val="false"/>
          <w:sz w:val="24"/>
          <w:szCs w:val="24"/>
        </w:rPr>
        <w:t xml:space="preserve">Česká republika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rPr>
        <w:t xml:space="preserve">+420 000 000 000</w:t>
      </w:r>
      <w:r>
        <w:rPr>
          <w:rFonts w:ascii="Times New Roman" w:cs="Times New Roman" w:eastAsia="Times New Roman" w:hAnsi="Times New Roman"/>
          <w:b w:val="false"/>
          <w:bCs w:val="false"/>
          <w:i w:val="false"/>
          <w:iCs w:val="false"/>
          <w:sz w:val="24"/>
          <w:szCs w:val="24"/>
        </w:rPr>
        <w:t xml:space="preserve">peter.mrkvicka@example.invalid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Bankovní účet (IBAN):</w:t>
      </w:r>
      <w:r>
        <w:rPr>
          <w:rFonts w:ascii="Times New Roman" w:cs="Times New Roman" w:eastAsia="Times New Roman" w:hAnsi="Times New Roman"/>
          <w:b w:val="false"/>
          <w:bCs w:val="false"/>
          <w:i w:val="false"/>
          <w:iCs w:val="false"/>
          <w:sz w:val="24"/>
          <w:szCs w:val="24"/>
        </w:rPr>
        <w:t xml:space="preserve">000000-1234567890/0000 (modelový účet)</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Fiktivní modelové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w:t>
      </w:r>
      <w:r>
        <w:rPr>
          <w:rFonts w:ascii="Times New Roman" w:cs="Times New Roman" w:eastAsia="Times New Roman" w:hAnsi="Times New Roman"/>
          <w:b w:val="false"/>
          <w:bCs w:val="false"/>
          <w:i w:val="false"/>
          <w:iCs w:val="false"/>
          <w:sz w:val="24"/>
          <w:szCs w:val="24"/>
        </w:rPr>
        <w:t xml:space="preserve">věřitel</w:t>
      </w:r>
      <w:r>
        <w:rPr>
          <w:rFonts w:ascii="Times New Roman" w:cs="Times New Roman" w:eastAsia="Times New Roman" w:hAnsi="Times New Roman"/>
          <w:b w:val="false"/>
          <w:bCs w:val="false"/>
          <w:i w:val="false"/>
          <w:iCs w:val="false"/>
          <w:sz w:val="24"/>
          <w:szCs w:val="24"/>
        </w:rPr>
        <w:t xml:space="preserve">" nebo „</w:t>
      </w:r>
      <w:r>
        <w:rPr>
          <w:rFonts w:ascii="Times New Roman" w:cs="Times New Roman" w:eastAsia="Times New Roman" w:hAnsi="Times New Roman"/>
          <w:b w:val="false"/>
          <w:bCs w:val="false"/>
          <w:i w:val="false"/>
          <w:iCs w:val="false"/>
          <w:sz w:val="24"/>
          <w:szCs w:val="24"/>
        </w:rPr>
        <w:t xml:space="preserve">zapůjčitel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Dlužník (vydlužitel):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Jana Mrkvičková</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4. 8. 1991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Údolní 8,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Občanství:</w:t>
      </w:r>
      <w:r>
        <w:rPr>
          <w:rFonts w:ascii="Times New Roman" w:cs="Times New Roman" w:eastAsia="Times New Roman" w:hAnsi="Times New Roman"/>
          <w:b w:val="false"/>
          <w:bCs w:val="false"/>
          <w:i w:val="false"/>
          <w:iCs w:val="false"/>
          <w:sz w:val="24"/>
          <w:szCs w:val="24"/>
        </w:rPr>
        <w:t xml:space="preserve">Česká republika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rPr>
        <w:t xml:space="preserve">+420 000 000 000</w:t>
      </w:r>
      <w:r>
        <w:rPr>
          <w:rFonts w:ascii="Times New Roman" w:cs="Times New Roman" w:eastAsia="Times New Roman" w:hAnsi="Times New Roman"/>
          <w:b w:val="false"/>
          <w:bCs w:val="false"/>
          <w:i w:val="false"/>
          <w:iCs w:val="false"/>
          <w:sz w:val="24"/>
          <w:szCs w:val="24"/>
        </w:rPr>
        <w:t xml:space="preserve">jana.mrkvickova@example.invalid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Fiktivní modelové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w:t>
      </w:r>
      <w:r>
        <w:rPr>
          <w:rFonts w:ascii="Times New Roman" w:cs="Times New Roman" w:eastAsia="Times New Roman" w:hAnsi="Times New Roman"/>
          <w:b w:val="false"/>
          <w:bCs w:val="false"/>
          <w:i w:val="false"/>
          <w:iCs w:val="false"/>
          <w:sz w:val="24"/>
          <w:szCs w:val="24"/>
        </w:rPr>
        <w:t xml:space="preserve">dlužník</w:t>
      </w:r>
      <w:r>
        <w:rPr>
          <w:rFonts w:ascii="Times New Roman" w:cs="Times New Roman" w:eastAsia="Times New Roman" w:hAnsi="Times New Roman"/>
          <w:b w:val="false"/>
          <w:bCs w:val="false"/>
          <w:i w:val="false"/>
          <w:iCs w:val="false"/>
          <w:sz w:val="24"/>
          <w:szCs w:val="24"/>
        </w:rPr>
        <w:t xml:space="preserve">" nebo „</w:t>
      </w:r>
      <w:r>
        <w:rPr>
          <w:rFonts w:ascii="Times New Roman" w:cs="Times New Roman" w:eastAsia="Times New Roman" w:hAnsi="Times New Roman"/>
          <w:b w:val="false"/>
          <w:bCs w:val="false"/>
          <w:i w:val="false"/>
          <w:iCs w:val="false"/>
          <w:sz w:val="24"/>
          <w:szCs w:val="24"/>
        </w:rPr>
        <w:t xml:space="preserve">vydlužitel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(dále spolu jen jako „</w:t>
      </w:r>
      <w:r>
        <w:rPr>
          <w:rFonts w:ascii="Times New Roman" w:cs="Times New Roman" w:eastAsia="Times New Roman" w:hAnsi="Times New Roman"/>
          <w:b w:val="false"/>
          <w:bCs w:val="false"/>
          <w:i/>
          <w:iCs/>
          <w:sz w:val="24"/>
          <w:szCs w:val="24"/>
        </w:rPr>
        <w:t xml:space="preserve">smluvní strany</w:t>
      </w:r>
      <w:r>
        <w:rPr>
          <w:rFonts w:ascii="Times New Roman" w:cs="Times New Roman" w:eastAsia="Times New Roman" w:hAnsi="Times New Roman"/>
          <w:b w:val="false"/>
          <w:bCs w:val="false"/>
          <w:i/>
          <w:iCs/>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w:t>
      </w:r>
    </w:p>
    <w:p>
      <w:pPr>
        <w:keepNext/>
        <w:spacing w:after="120" w:before="0" w:line="276"/>
        <w:jc w:val="center"/>
      </w:pPr>
      <w:r>
        <w:rPr>
          <w:rFonts w:ascii="Times New Roman" w:cs="Times New Roman" w:eastAsia="Times New Roman" w:hAnsi="Times New Roman"/>
          <w:b w:val="false"/>
          <w:bCs w:val="false"/>
          <w:i/>
          <w:iCs/>
          <w:sz w:val="22"/>
          <w:szCs w:val="22"/>
        </w:rPr>
        <w:t xml:space="preserve">Předmět smlouvy o půjčce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Předmětem této smlouvy o půjčce je půjčení peněz ve výši </w:t>
      </w:r>
      <w:r>
        <w:rPr>
          <w:rFonts w:ascii="Times New Roman" w:cs="Times New Roman" w:eastAsia="Times New Roman" w:hAnsi="Times New Roman"/>
          <w:b w:val="false"/>
          <w:bCs w:val="false"/>
          <w:i w:val="false"/>
          <w:iCs w:val="false"/>
          <w:sz w:val="24"/>
          <w:szCs w:val="24"/>
        </w:rPr>
        <w:t xml:space="preserve">60000</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Kč</w:t>
      </w:r>
      <w:r>
        <w:rPr>
          <w:rFonts w:ascii="Times New Roman" w:cs="Times New Roman" w:eastAsia="Times New Roman" w:hAnsi="Times New Roman"/>
          <w:b w:val="false"/>
          <w:bCs w:val="false"/>
          <w:i w:val="false"/>
          <w:iCs w:val="false"/>
          <w:sz w:val="24"/>
          <w:szCs w:val="24"/>
        </w:rPr>
        <w:t xml:space="preserve"> (slovy: </w:t>
      </w:r>
      <w:r>
        <w:rPr>
          <w:rFonts w:ascii="Times New Roman" w:cs="Times New Roman" w:eastAsia="Times New Roman" w:hAnsi="Times New Roman"/>
          <w:b w:val="false"/>
          <w:bCs w:val="false"/>
          <w:i w:val="false"/>
          <w:iCs w:val="false"/>
          <w:sz w:val="24"/>
          <w:szCs w:val="24"/>
        </w:rPr>
        <w:t xml:space="preserve">šedesát tisíc korun českých</w:t>
      </w:r>
      <w:r>
        <w:rPr>
          <w:rFonts w:ascii="Times New Roman" w:cs="Times New Roman" w:eastAsia="Times New Roman" w:hAnsi="Times New Roman"/>
          <w:b w:val="false"/>
          <w:bCs w:val="false"/>
          <w:i w:val="false"/>
          <w:iCs w:val="false"/>
          <w:sz w:val="24"/>
          <w:szCs w:val="24"/>
        </w:rPr>
        <w:t xml:space="preserve">) dlužníkovi věřitelem za podmínek uvedených v této smlouvě.</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w:t>
      </w:r>
    </w:p>
    <w:p>
      <w:pPr>
        <w:keepNext/>
        <w:spacing w:after="120" w:before="0" w:line="276"/>
        <w:jc w:val="center"/>
      </w:pPr>
      <w:r>
        <w:rPr>
          <w:rFonts w:ascii="Times New Roman" w:cs="Times New Roman" w:eastAsia="Times New Roman" w:hAnsi="Times New Roman"/>
          <w:b w:val="false"/>
          <w:bCs w:val="false"/>
          <w:i/>
          <w:iCs/>
          <w:sz w:val="22"/>
          <w:szCs w:val="22"/>
        </w:rPr>
        <w:t xml:space="preserve">Způsob poskytnutí peněz</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w:t>
      </w:r>
      <w:r>
        <w:rPr>
          <w:rFonts w:ascii="Times New Roman" w:cs="Times New Roman" w:eastAsia="Times New Roman" w:hAnsi="Times New Roman"/>
          <w:b w:val="false"/>
          <w:bCs w:val="false"/>
          <w:i w:val="false"/>
          <w:iCs w:val="false"/>
          <w:sz w:val="24"/>
          <w:szCs w:val="24"/>
        </w:rPr>
        <w:t xml:space="preserve"> Půjčka podle čl. I této smlouvy se dlužníkovi poskytuje </w:t>
      </w:r>
      <w:r>
        <w:rPr>
          <w:rFonts w:ascii="Times New Roman" w:cs="Times New Roman" w:eastAsia="Times New Roman" w:hAnsi="Times New Roman"/>
          <w:b w:val="false"/>
          <w:bCs w:val="false"/>
          <w:i w:val="false"/>
          <w:iCs w:val="false"/>
          <w:sz w:val="24"/>
          <w:szCs w:val="24"/>
        </w:rPr>
        <w:t xml:space="preserve">převodem na bankovní účet.</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w:t>
      </w:r>
      <w:r>
        <w:rPr>
          <w:rFonts w:ascii="Times New Roman" w:cs="Times New Roman" w:eastAsia="Times New Roman" w:hAnsi="Times New Roman"/>
          <w:b w:val="false"/>
          <w:bCs w:val="false"/>
          <w:i w:val="false"/>
          <w:iCs w:val="false"/>
          <w:sz w:val="24"/>
          <w:szCs w:val="24"/>
        </w:rPr>
        <w:t xml:space="preserve"> Půjčka ve výši uvedené v čl. I této smlouvy bude poskytnuta dlužníkovi převodem na bankovní účet věřitele uvedený v záhlaví této smlouvy.</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III</w:t>
      </w:r>
    </w:p>
    <w:p>
      <w:pPr>
        <w:keepNext/>
        <w:spacing w:after="120" w:before="0" w:line="276"/>
        <w:jc w:val="center"/>
      </w:pPr>
      <w:r>
        <w:rPr>
          <w:rFonts w:ascii="Times New Roman" w:cs="Times New Roman" w:eastAsia="Times New Roman" w:hAnsi="Times New Roman"/>
          <w:b w:val="false"/>
          <w:bCs w:val="false"/>
          <w:i/>
          <w:iCs/>
          <w:sz w:val="22"/>
          <w:szCs w:val="22"/>
        </w:rPr>
        <w:t xml:space="preserve">Smluvní úrok</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Smluvní strany se dohodly, že dlužník vrátí věřiteli půjčenou částku </w:t>
      </w:r>
      <w:r>
        <w:rPr>
          <w:rFonts w:ascii="Times New Roman" w:cs="Times New Roman" w:eastAsia="Times New Roman" w:hAnsi="Times New Roman"/>
          <w:b w:val="false"/>
          <w:bCs w:val="false"/>
          <w:i w:val="false"/>
          <w:iCs w:val="false"/>
          <w:sz w:val="24"/>
          <w:szCs w:val="24"/>
        </w:rPr>
        <w:t xml:space="preserve">bezúročně.</w:t>
      </w:r>
    </w:p>
    <w:p>
      <w:pPr>
        <w:keepNext/>
        <w:spacing w:after="120" w:before="240" w:line="276"/>
        <w:jc w:val="center"/>
      </w:pPr>
      <w:r>
        <w:rPr>
          <w:rFonts w:ascii="Times New Roman" w:cs="Times New Roman" w:eastAsia="Times New Roman" w:hAnsi="Times New Roman"/>
          <w:b/>
          <w:bCs/>
          <w:i w:val="false"/>
          <w:iCs w:val="false"/>
          <w:sz w:val="24"/>
          <w:szCs w:val="24"/>
        </w:rPr>
        <w:t xml:space="preserve">čl. IV</w:t>
      </w:r>
    </w:p>
    <w:p>
      <w:pPr>
        <w:keepNext/>
        <w:spacing w:after="120" w:before="0" w:line="276"/>
        <w:jc w:val="center"/>
      </w:pPr>
      <w:r>
        <w:rPr>
          <w:rFonts w:ascii="Times New Roman" w:cs="Times New Roman" w:eastAsia="Times New Roman" w:hAnsi="Times New Roman"/>
          <w:b w:val="false"/>
          <w:bCs w:val="false"/>
          <w:i/>
          <w:iCs/>
          <w:sz w:val="22"/>
          <w:szCs w:val="22"/>
        </w:rPr>
        <w:t xml:space="preserve">Vrácení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Smluvní strany se dohodly, že dlužník vrátí věřiteli dluh </w:t>
      </w:r>
      <w:r>
        <w:rPr>
          <w:rFonts w:ascii="Times New Roman" w:cs="Times New Roman" w:eastAsia="Times New Roman" w:hAnsi="Times New Roman"/>
          <w:b w:val="false"/>
          <w:bCs w:val="false"/>
          <w:i w:val="false"/>
          <w:iCs w:val="false"/>
          <w:sz w:val="24"/>
          <w:szCs w:val="24"/>
        </w:rPr>
        <w:t xml:space="preserve">jednorázově</w:t>
      </w:r>
      <w:r>
        <w:rPr>
          <w:rFonts w:ascii="Times New Roman" w:cs="Times New Roman" w:eastAsia="Times New Roman" w:hAnsi="Times New Roman"/>
          <w:b w:val="false"/>
          <w:bCs w:val="false"/>
          <w:i w:val="false"/>
          <w:iCs w:val="false"/>
          <w:sz w:val="24"/>
          <w:szCs w:val="24"/>
        </w:rPr>
        <w:t xml:space="preserve"> ve lhůtě do </w:t>
      </w:r>
      <w:r>
        <w:rPr>
          <w:rFonts w:ascii="Times New Roman" w:cs="Times New Roman" w:eastAsia="Times New Roman" w:hAnsi="Times New Roman"/>
          <w:b w:val="false"/>
          <w:bCs w:val="false"/>
          <w:i w:val="false"/>
          <w:iCs w:val="false"/>
          <w:sz w:val="24"/>
          <w:szCs w:val="24"/>
        </w:rPr>
        <w:t xml:space="preserve">31. 10. 2027</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Smluvní strany se dohodly, že dlužník vrátí dluh věřiteli </w:t>
      </w:r>
      <w:r>
        <w:rPr>
          <w:rFonts w:ascii="Times New Roman" w:cs="Times New Roman" w:eastAsia="Times New Roman" w:hAnsi="Times New Roman"/>
          <w:b w:val="false"/>
          <w:bCs w:val="false"/>
          <w:i w:val="false"/>
          <w:iCs w:val="false"/>
          <w:sz w:val="24"/>
          <w:szCs w:val="24"/>
        </w:rPr>
        <w:t xml:space="preserve">převodem na bankovní účet věřitele uvedený v záhlaví této smlouvy</w:t>
      </w:r>
      <w:r>
        <w:rPr>
          <w:rFonts w:ascii="Times New Roman" w:cs="Times New Roman" w:eastAsia="Times New Roman" w:hAnsi="Times New Roman"/>
          <w:b w:val="false"/>
          <w:bCs w:val="false"/>
          <w:i w:val="false"/>
          <w:iCs w:val="false"/>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V</w:t>
      </w:r>
    </w:p>
    <w:p>
      <w:pPr>
        <w:keepNext/>
        <w:spacing w:after="120" w:before="0" w:line="276"/>
        <w:jc w:val="center"/>
      </w:pPr>
      <w:r>
        <w:rPr>
          <w:rFonts w:ascii="Times New Roman" w:cs="Times New Roman" w:eastAsia="Times New Roman" w:hAnsi="Times New Roman"/>
          <w:b w:val="false"/>
          <w:bCs w:val="false"/>
          <w:i/>
          <w:iCs/>
          <w:sz w:val="22"/>
          <w:szCs w:val="22"/>
        </w:rPr>
        <w:t xml:space="preserve">Další práva a povinnosti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5.1</w:t>
      </w:r>
      <w:r>
        <w:rPr>
          <w:rFonts w:ascii="Times New Roman" w:cs="Times New Roman" w:eastAsia="Times New Roman" w:hAnsi="Times New Roman"/>
          <w:b w:val="false"/>
          <w:bCs w:val="false"/>
          <w:i w:val="false"/>
          <w:iCs w:val="false"/>
          <w:sz w:val="24"/>
          <w:szCs w:val="24"/>
        </w:rPr>
        <w:t xml:space="preserve"> Smluvní strany se dohodly, že pokud se dlužník dostane do prodlení se zaplacením dluhu, dlužník se zavazuje uhradit věřiteli </w:t>
      </w:r>
      <w:r>
        <w:rPr>
          <w:rFonts w:ascii="Times New Roman" w:cs="Times New Roman" w:eastAsia="Times New Roman" w:hAnsi="Times New Roman"/>
          <w:b/>
          <w:bCs/>
          <w:i w:val="false"/>
          <w:iCs w:val="false"/>
          <w:sz w:val="24"/>
          <w:szCs w:val="24"/>
        </w:rPr>
        <w:t xml:space="preserve">zákonný úrok z prodlení</w:t>
      </w:r>
      <w:r>
        <w:rPr>
          <w:rFonts w:ascii="Times New Roman" w:cs="Times New Roman" w:eastAsia="Times New Roman" w:hAnsi="Times New Roman"/>
          <w:b w:val="false"/>
          <w:bCs w:val="false"/>
          <w:i w:val="false"/>
          <w:iCs w:val="false"/>
          <w:sz w:val="24"/>
          <w:szCs w:val="24"/>
        </w:rPr>
        <w:t xml:space="preserve">, a to ode dne následujícího po dni splatnosti až do úplného zaplacení (§ 1968 a § 1970 zákona č. 89/2012 Sb., občanský zákoník; nař. vlády č. 351/2013 Sb.).</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5.2</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Další ujednání se nesjednávají.</w:t>
      </w:r>
    </w:p>
    <w:p>
      <w:pPr>
        <w:keepNext/>
        <w:spacing w:after="120" w:before="240" w:line="276"/>
        <w:jc w:val="center"/>
      </w:pPr>
      <w:r>
        <w:rPr>
          <w:rFonts w:ascii="Times New Roman" w:cs="Times New Roman" w:eastAsia="Times New Roman" w:hAnsi="Times New Roman"/>
          <w:b/>
          <w:bCs/>
          <w:i w:val="false"/>
          <w:iCs w:val="false"/>
          <w:sz w:val="24"/>
          <w:szCs w:val="24"/>
        </w:rPr>
        <w:t xml:space="preserve">čl. VI</w:t>
      </w:r>
    </w:p>
    <w:p>
      <w:pPr>
        <w:keepNext/>
        <w:spacing w:after="120" w:before="0" w:line="276"/>
        <w:jc w:val="center"/>
      </w:pPr>
      <w:r>
        <w:rPr>
          <w:rFonts w:ascii="Times New Roman" w:cs="Times New Roman" w:eastAsia="Times New Roman" w:hAnsi="Times New Roman"/>
          <w:b w:val="false"/>
          <w:bCs w:val="false"/>
          <w:i/>
          <w:iCs/>
          <w:sz w:val="22"/>
          <w:szCs w:val="22"/>
        </w:rPr>
        <w:t xml:space="preserve">Doručování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6.1</w:t>
      </w:r>
      <w:r>
        <w:rPr>
          <w:rFonts w:ascii="Times New Roman" w:cs="Times New Roman" w:eastAsia="Times New Roman" w:hAnsi="Times New Roman"/>
          <w:b w:val="false"/>
          <w:bCs w:val="false"/>
          <w:i w:val="false"/>
          <w:iCs w:val="false"/>
          <w:sz w:val="24"/>
          <w:szCs w:val="24"/>
        </w:rPr>
        <w:t xml:space="preserve"> Smluvní strany se dohodly, že veškeré písemnosti si doručují doporučeně do vlastních rukou, prostřednictvím držitele poštovní licence, a to vždy nejméně s desetidenní úložní dobou, nebo osobně. Stranám se doručuje na adresy uvedené při jejich jménech. V případě, že své adresy od okamžiku podpisu této dohody změnily, jsou povinny tuto skutečnost bez zbytečného odkladu sdělit druhé smluvní straně. Osobám registrovaným ve veřejných rejstřících je možno vždy doručovat i na adresy uvedené v těchto rejstřících. Za doručenou zásilku se považuje také zásilka odeslaná podle předchozího odstavce, jejíž přijetí adresát odmítl, jejíž doručení adresát jinak zmařil nebo která se po uplynutí úložní doby vrátila zpět odesílateli, ledaže adresát prokáže, že mu v seznámení se zásilkou bránila objektivní překážka. Účinek doručení zásilky nastává dnem jejího přijetí nebo dnem, kdy se zásilka vrací zpět odesílateli.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6.2</w:t>
      </w:r>
      <w:r>
        <w:rPr>
          <w:rFonts w:ascii="Times New Roman" w:cs="Times New Roman" w:eastAsia="Times New Roman" w:hAnsi="Times New Roman"/>
          <w:b w:val="false"/>
          <w:bCs w:val="false"/>
          <w:i w:val="false"/>
          <w:iCs w:val="false"/>
          <w:sz w:val="24"/>
          <w:szCs w:val="24"/>
        </w:rPr>
        <w:t xml:space="preserve"> Výše uvedená ustanovení o doručování se přiměřeně použijí i v rozhodčím řízení při doručování písemnosti rozhodčího řízení, včetně povinnosti oznámit změnu adresy pro doručování rozhodci.</w:t>
      </w:r>
    </w:p>
    <w:p>
      <w:pPr>
        <w:keepNext/>
        <w:spacing w:after="120" w:before="240" w:line="276"/>
        <w:jc w:val="center"/>
      </w:pPr>
      <w:r>
        <w:rPr>
          <w:rFonts w:ascii="Times New Roman" w:cs="Times New Roman" w:eastAsia="Times New Roman" w:hAnsi="Times New Roman"/>
          <w:b/>
          <w:bCs/>
          <w:i w:val="false"/>
          <w:iCs w:val="false"/>
          <w:sz w:val="24"/>
          <w:szCs w:val="24"/>
        </w:rPr>
        <w:t xml:space="preserve">čl. VII</w:t>
      </w:r>
    </w:p>
    <w:p>
      <w:pPr>
        <w:keepNext/>
        <w:spacing w:after="120" w:before="0" w:line="276"/>
        <w:jc w:val="center"/>
      </w:pPr>
      <w:r>
        <w:rPr>
          <w:rFonts w:ascii="Times New Roman" w:cs="Times New Roman" w:eastAsia="Times New Roman" w:hAnsi="Times New Roman"/>
          <w:b w:val="false"/>
          <w:bCs w:val="false"/>
          <w:i/>
          <w:iCs/>
          <w:sz w:val="22"/>
          <w:szCs w:val="22"/>
        </w:rPr>
        <w:t xml:space="preserve">Závěrečná ustanovení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7.1</w:t>
      </w:r>
      <w:r>
        <w:rPr>
          <w:rFonts w:ascii="Times New Roman" w:cs="Times New Roman" w:eastAsia="Times New Roman" w:hAnsi="Times New Roman"/>
          <w:b w:val="false"/>
          <w:bCs w:val="false"/>
          <w:i w:val="false"/>
          <w:iCs w:val="false"/>
          <w:sz w:val="24"/>
          <w:szCs w:val="24"/>
        </w:rPr>
        <w:t xml:space="preserve"> Tato smlouva o půjčce byla vyhotovena ve 2 stejnopisech, pro každého z účastníků. Každý z účastníků převzal jedno vyhotovení této smlouvy o půjčce. Smluvní strany se dohodly, že tuto smlouvu o půjčce je možné měnit pouze očíslovaným písemným dodatkem podepsaným oběma stranami, který se stane nedílnou součástí této smlouvy o půjčce.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7.2</w:t>
      </w:r>
      <w:r>
        <w:rPr>
          <w:rFonts w:ascii="Times New Roman" w:cs="Times New Roman" w:eastAsia="Times New Roman" w:hAnsi="Times New Roman"/>
          <w:b w:val="false"/>
          <w:bCs w:val="false"/>
          <w:i w:val="false"/>
          <w:iCs w:val="false"/>
          <w:sz w:val="24"/>
          <w:szCs w:val="24"/>
        </w:rPr>
        <w:t xml:space="preserve"> Smluvní strany se dohodly, že všechny majetkové spory, které vzniknou z této smlouvy, budou rozhodnuty v rozhodčím řízení podle zákona č. 216/1994 Sb. o rozhodčím řízení rozhodcem: JUDr. Milan Ficek, advokát (zapsaný v seznamu evropských advokátů ČAK pod ev. č. 50245), se sídlem: Lidická 700/19, 602 00 Brno (</w:t>
      </w:r>
      <w:r>
        <w:rPr>
          <w:rFonts w:ascii="Times New Roman" w:cs="Times New Roman" w:eastAsia="Times New Roman" w:hAnsi="Times New Roman"/>
          <w:b w:val="false"/>
          <w:bCs w:val="false"/>
          <w:i w:val="false"/>
          <w:iCs w:val="false"/>
          <w:sz w:val="24"/>
          <w:szCs w:val="24"/>
        </w:rPr>
        <w:t xml:space="preserve">www.rrcr.cz</w:t>
      </w:r>
      <w:r>
        <w:rPr>
          <w:rFonts w:ascii="Times New Roman" w:cs="Times New Roman" w:eastAsia="Times New Roman" w:hAnsi="Times New Roman"/>
          <w:b w:val="false"/>
          <w:bCs w:val="false"/>
          <w:i w:val="false"/>
          <w:iCs w:val="false"/>
          <w:sz w:val="24"/>
          <w:szCs w:val="24"/>
        </w:rPr>
        <w:t xml:space="preserve">). Rozhodce rozhoduje neveřejně bez ústního jednání (písemně) na základě písemných důkazů. Rozhodčí poplatek za každý spor činí 4 % z hodnoty předmětu sporu, nejméně 4.500,- Kč. Zásilka se má za doručenou i vhozením do domovní schránky adresáta nebo jejím vrácením rozhodci. Rozhodce se řídí právními předpisy a nesmí rozhodovat v rozporu s veřejným pořádkem. Právní předpisy rozhodce aplikuje stejně jako soudce v soudním řízení podle o. s. ř. Ustanovení této rozhodčí doložky upravující postup, kterým má rozhodce vést řízení, je dohodou stran ve smyslu § 19 odst. 1 ZRŘ. Není-li postup upraven, postupuje rozhodce v řízení způsobem, který považuje za vhodný (§ 19 odst. 2 ZRŘ), a to s přiměřenou aplikací ustanovení o. s. ř. (§ 30 ZRŘ).</w:t>
      </w:r>
    </w:p>
    <w:p>
      <w:pPr>
        <w:keepNext/>
        <w:spacing w:after="120" w:before="0" w:line="276"/>
        <w:jc w:val="both"/>
      </w:pPr>
      <w:r>
        <w:rPr>
          <w:rFonts w:ascii="Times New Roman" w:cs="Times New Roman" w:eastAsia="Times New Roman" w:hAnsi="Times New Roman"/>
          <w:b/>
          <w:bCs/>
          <w:i w:val="false"/>
          <w:iCs w:val="false"/>
          <w:sz w:val="24"/>
          <w:szCs w:val="24"/>
        </w:rPr>
        <w:t xml:space="preserve">7.3</w:t>
      </w:r>
      <w:r>
        <w:rPr>
          <w:rFonts w:ascii="Times New Roman" w:cs="Times New Roman" w:eastAsia="Times New Roman" w:hAnsi="Times New Roman"/>
          <w:b w:val="false"/>
          <w:bCs w:val="false"/>
          <w:i w:val="false"/>
          <w:iCs w:val="false"/>
          <w:sz w:val="24"/>
          <w:szCs w:val="24"/>
        </w:rPr>
        <w:t xml:space="preserve"> Dlužník a věřitel potvrzují, že si smlouvu o půjčce řádně přečetli, obsahu smlouvy o půjčce rozumějí a na znak souhlasu ji podepisují. Smluvní strany prohlašují, že smlouvu o půjčce uzavřely svobodně a vážně.</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Brně</w:t>
      </w:r>
      <w:r>
        <w:rPr>
          <w:rFonts w:ascii="Times New Roman" w:cs="Times New Roman" w:eastAsia="Times New Roman" w:hAnsi="Times New Roman"/>
          <w:b w:val="false"/>
          <w:bCs w:val="false"/>
          <w:i w:val="false"/>
          <w:iCs w:val="false"/>
          <w:sz w:val="24"/>
          <w:szCs w:val="24"/>
        </w:rPr>
        <w:t xml:space="preserve">, dne .............................</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Věřitel</w:t>
            </w:r>
            <w:r>
              <w:br/>
            </w:r>
            <w:r>
              <w:rPr>
                <w:rFonts w:ascii="Times New Roman" w:cs="Times New Roman" w:eastAsia="Times New Roman" w:hAnsi="Times New Roman"/>
                <w:b w:val="false"/>
                <w:bCs w:val="false"/>
                <w:i w:val="false"/>
                <w:iCs w:val="false"/>
                <w:sz w:val="24"/>
                <w:szCs w:val="24"/>
              </w:rPr>
              <w:t xml:space="preserve">Peter Mrkvička</w:t>
            </w: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Dlužník</w:t>
            </w:r>
            <w:r>
              <w:br/>
            </w:r>
            <w:r>
              <w:rPr>
                <w:rFonts w:ascii="Times New Roman" w:cs="Times New Roman" w:eastAsia="Times New Roman" w:hAnsi="Times New Roman"/>
                <w:b w:val="false"/>
                <w:bCs w:val="false"/>
                <w:i w:val="false"/>
                <w:iCs w:val="false"/>
                <w:sz w:val="24"/>
                <w:szCs w:val="24"/>
              </w:rPr>
              <w:t xml:space="preserve">Jana Mrkvičková</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cs-CZ"/>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půjčce převodem na účet — vyplněný vzor</dc:title>
  <dc:creator>JUDr. Milan Ficek, LL.M.</dc:creator>
  <dc:description>Smlouva o půjčce převodem na účet — vyplněný vzor</dc:description>
  <cp:lastModifiedBy>Un-named</cp:lastModifiedBy>
  <cp:revision>1</cp:revision>
  <dcterms:created xsi:type="dcterms:W3CDTF">2026-10-05T00:00:00Z</dcterms:created>
  <dcterms:modified xsi:type="dcterms:W3CDTF">2026-10-05T00:00:00Z</dcterms:modified>
</cp:coreProperties>
</file>

<file path=docProps/custom.xml><?xml version="1.0" encoding="utf-8"?>
<Properties xmlns="http://schemas.openxmlformats.org/officeDocument/2006/custom-properties" xmlns:vt="http://schemas.openxmlformats.org/officeDocument/2006/docPropsVTypes"/>
</file>